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04" w:rsidRDefault="00AA6B04" w:rsidP="00E67DE5">
      <w:pPr>
        <w:jc w:val="both"/>
      </w:pPr>
      <w:r w:rsidRPr="00AA6B04">
        <w:t xml:space="preserve">Sozialraum.de ist ein seit 2009 bestehendes Online-Journal, das den Austausch über sozialräumliche Konzepte in der Sozialen Arbeit fördert. Als offene Plattform mit </w:t>
      </w:r>
      <w:proofErr w:type="spellStart"/>
      <w:r w:rsidRPr="00AA6B04">
        <w:t>pluralem</w:t>
      </w:r>
      <w:proofErr w:type="spellEnd"/>
      <w:r w:rsidRPr="00AA6B04">
        <w:t xml:space="preserve"> Ansatz werden verschiedene Sozialraumbegriffe berücksichtigt. Dabei stehen wissenschaftliche und journalistische Standards im Vordergrund. Ein Highlight</w:t>
      </w:r>
      <w:r>
        <w:t xml:space="preserve"> ist d</w:t>
      </w:r>
      <w:r w:rsidRPr="00AA6B04">
        <w:t>er</w:t>
      </w:r>
      <w:r>
        <w:t xml:space="preserve"> folgende</w:t>
      </w:r>
      <w:r w:rsidRPr="00AA6B04">
        <w:t xml:space="preserve"> Methodenkoffer mit speziellen Verfahren für </w:t>
      </w:r>
      <w:r w:rsidRPr="00590445">
        <w:rPr>
          <w:b/>
        </w:rPr>
        <w:t>Sozialraumerkundungen und -analysen</w:t>
      </w:r>
      <w:r w:rsidRPr="00AA6B04">
        <w:t xml:space="preserve">. </w:t>
      </w:r>
    </w:p>
    <w:p w:rsidR="0087067E" w:rsidRDefault="000221F0" w:rsidP="00E67DE5">
      <w:pPr>
        <w:jc w:val="both"/>
      </w:pPr>
      <w:hyperlink r:id="rId6" w:history="1">
        <w:r w:rsidR="00D26388" w:rsidRPr="00C77DE7">
          <w:rPr>
            <w:rStyle w:val="Hyperlink"/>
          </w:rPr>
          <w:t>https://www.sozialraum.de/methodenkoffer/</w:t>
        </w:r>
      </w:hyperlink>
    </w:p>
    <w:p w:rsidR="00AA6B04" w:rsidRDefault="00AA6B04" w:rsidP="00E67DE5">
      <w:pPr>
        <w:jc w:val="both"/>
      </w:pPr>
      <w:r w:rsidRPr="00AA6B04">
        <w:t xml:space="preserve">Miteinander e.V. engagiert sich seit über 17 Jahren für Demokratieförderung, Menschenrechte und gegen Rechtsextremismus, insbesondere in ländlichen Gebieten. Der Verein betont langfristige Zusammenarbeit, Selbstbestimmung und kritische Reflexion. In ihrer Broschüre bieten sie erprobte </w:t>
      </w:r>
      <w:r w:rsidRPr="00590445">
        <w:rPr>
          <w:b/>
        </w:rPr>
        <w:t>Übungen für eine tiefgreifende Bildungsarbeit</w:t>
      </w:r>
      <w:r w:rsidRPr="00AA6B04">
        <w:t xml:space="preserve"> an, die sowohl emotionale als auch intellektuelle Ebenen anspricht.</w:t>
      </w:r>
    </w:p>
    <w:p w:rsidR="00D26388" w:rsidRDefault="000221F0" w:rsidP="00E67DE5">
      <w:pPr>
        <w:jc w:val="both"/>
      </w:pPr>
      <w:hyperlink r:id="rId7" w:history="1">
        <w:r w:rsidR="00D26388" w:rsidRPr="00C77DE7">
          <w:rPr>
            <w:rStyle w:val="Hyperlink"/>
          </w:rPr>
          <w:t>https://www.beratungsnetzwerk-sachsen-anhalt.de/images/docs/Publikationen/MethodenkofferfuerInterventionsmoeglichkeiteninderJugend-undSozialarbeit.pdf</w:t>
        </w:r>
      </w:hyperlink>
    </w:p>
    <w:p w:rsidR="00D26388" w:rsidRDefault="00D26388" w:rsidP="00E67DE5">
      <w:pPr>
        <w:jc w:val="both"/>
      </w:pPr>
      <w:r w:rsidRPr="00D26388">
        <w:t xml:space="preserve">In Deutschland gibt es zahlreiche </w:t>
      </w:r>
      <w:r w:rsidRPr="00AA6B04">
        <w:rPr>
          <w:b/>
        </w:rPr>
        <w:t>Präventionsprogramme</w:t>
      </w:r>
      <w:r w:rsidRPr="00D26388">
        <w:t xml:space="preserve"> gegen problematisches Verhalten bei Kindern und Jugendlichen. Jedoch fehlen oft aussagekräftige Studien zu ihrer Wirksamkeit. Die "Grüne Liste Prävention" bietet einen </w:t>
      </w:r>
      <w:r w:rsidRPr="00590445">
        <w:rPr>
          <w:b/>
        </w:rPr>
        <w:t>fundierten Überblick</w:t>
      </w:r>
      <w:r w:rsidRPr="00D26388">
        <w:t xml:space="preserve"> über empfohlene Ansätze in verschiedenen Lebensbereichen. Sie kategorisiert diese Programme nach ihrer Wirksamkeit und zeigt, welche am vielversprechendsten sind. Erfahren Sie mehr über die besten Präventionsansätze und wie sie die Entwicklung junger Menschen unterstützen können.</w:t>
      </w:r>
    </w:p>
    <w:p w:rsidR="00D26388" w:rsidRDefault="000221F0" w:rsidP="00E67DE5">
      <w:pPr>
        <w:jc w:val="both"/>
      </w:pPr>
      <w:hyperlink r:id="rId8" w:history="1">
        <w:r w:rsidR="00D26388" w:rsidRPr="00C77DE7">
          <w:rPr>
            <w:rStyle w:val="Hyperlink"/>
          </w:rPr>
          <w:t>https://www.gruene-liste-praevention.de/nano.cms/datenbank/alle</w:t>
        </w:r>
      </w:hyperlink>
    </w:p>
    <w:p w:rsidR="00D26388" w:rsidRDefault="00D26388" w:rsidP="00E67DE5">
      <w:pPr>
        <w:jc w:val="both"/>
      </w:pPr>
      <w:r w:rsidRPr="00D26388">
        <w:t xml:space="preserve">Entdecken Sie bewährte </w:t>
      </w:r>
      <w:r w:rsidRPr="00AA6B04">
        <w:rPr>
          <w:b/>
        </w:rPr>
        <w:t>pädagogische Angebote zur "Entwicklungs</w:t>
      </w:r>
      <w:r w:rsidR="00AA6B04" w:rsidRPr="00AA6B04">
        <w:rPr>
          <w:b/>
        </w:rPr>
        <w:t>förderung und Gewaltprävention"</w:t>
      </w:r>
      <w:r w:rsidRPr="00D26388">
        <w:t xml:space="preserve"> Hier finden Sie sorgfältig zusammengestellte Handlungsprogramme mit hilfreichen Materialien, die auf verschiedene Altersgruppen und Lernkontexte zugeschnitten sind. Wählen Sie das gewünschte Handlungsfeld und lassen Sie sich detaillierte Informationen zu den entsprechenden Programmen anzeigen. </w:t>
      </w:r>
    </w:p>
    <w:p w:rsidR="00D26388" w:rsidRDefault="000221F0" w:rsidP="00E67DE5">
      <w:pPr>
        <w:jc w:val="both"/>
      </w:pPr>
      <w:hyperlink r:id="rId9" w:anchor="https://www.wegweiser-praevention.de/verbreitung.html" w:history="1">
        <w:r w:rsidR="00D26388" w:rsidRPr="00C77DE7">
          <w:rPr>
            <w:rStyle w:val="Hyperlink"/>
          </w:rPr>
          <w:t>https://www.wegweiser-praevention.de/empfehlungen.html#https://www.wegweiser-praevention.de/verbreitung.html</w:t>
        </w:r>
      </w:hyperlink>
    </w:p>
    <w:p w:rsidR="00AA6B04" w:rsidRDefault="00AA6B04" w:rsidP="00E67DE5">
      <w:pPr>
        <w:jc w:val="both"/>
      </w:pPr>
      <w:r w:rsidRPr="00AA6B04">
        <w:t xml:space="preserve">Die </w:t>
      </w:r>
      <w:r>
        <w:t>Berufsbildende Schule EHS Trier</w:t>
      </w:r>
      <w:r w:rsidRPr="00AA6B04">
        <w:t xml:space="preserve"> präsentiert </w:t>
      </w:r>
      <w:r w:rsidRPr="00AA6B04">
        <w:rPr>
          <w:b/>
        </w:rPr>
        <w:t>55 beispielhafte Methoden für die pädagogische Arbeit mit Kindern und Jugendlichen</w:t>
      </w:r>
      <w:r w:rsidRPr="00AA6B04">
        <w:t>. Von kleinen bis zu komplexen Ansätzen bietet diese Sammlung einen Einblick in die Vielfalt pädagogischer Aktivitäten. Sie dient als Inspiration, ohne den Anspruch auf Vollständigkeit. Für angehende Erzieher ist dies eine wertvolle Ressource, um ein individuelles Methodenrepertoire aufzubauen. Klicken Sie für detaillierte Erklärungen und Quellenverweise.</w:t>
      </w:r>
    </w:p>
    <w:p w:rsidR="00D26388" w:rsidRDefault="000221F0" w:rsidP="00E67DE5">
      <w:pPr>
        <w:jc w:val="both"/>
      </w:pPr>
      <w:hyperlink r:id="rId10" w:history="1">
        <w:r w:rsidR="00AA6B04" w:rsidRPr="00C77DE7">
          <w:rPr>
            <w:rStyle w:val="Hyperlink"/>
          </w:rPr>
          <w:t>https://www.bbs-ehs-trier.de/schulformen/fs/fss/fss_Methodenpool_Sozialpaedagogik.pdf</w:t>
        </w:r>
      </w:hyperlink>
    </w:p>
    <w:p w:rsidR="00590445" w:rsidRDefault="00590445" w:rsidP="00E67DE5">
      <w:pPr>
        <w:jc w:val="both"/>
      </w:pPr>
      <w:r w:rsidRPr="00590445">
        <w:rPr>
          <w:b/>
        </w:rPr>
        <w:t>Internationale Begegnungen</w:t>
      </w:r>
      <w:r w:rsidRPr="00590445">
        <w:t xml:space="preserve"> sind Goldminen für Persönlichkeitsentwicklung und interkulturelles Verständnis. Aber, der Erfolg liegt in der Vorbereitung! Das Herzstück? Ein durchdachtes Konzept. Vom ersten Treffen bis zur Reflexion, jedes Detail zählt. Um Euch dabei zu unterstützen, präsentieren wir unseren digitalen Methodenkoffer: </w:t>
      </w:r>
      <w:r w:rsidRPr="00590445">
        <w:rPr>
          <w:b/>
        </w:rPr>
        <w:t>Anleitungen zu Methoden aus neun Kategorien - von "Ankommen und Kennenlernen" bis "Digitale Jugendarbeit".</w:t>
      </w:r>
      <w:r w:rsidRPr="00590445">
        <w:t xml:space="preserve"> Perfekt für Eure internationale Begegnung, ob physisch oder digital. Viel Erfolg bei Euren Projekten!</w:t>
      </w:r>
    </w:p>
    <w:p w:rsidR="004F03BA" w:rsidRDefault="000221F0" w:rsidP="00E67DE5">
      <w:pPr>
        <w:jc w:val="both"/>
        <w:rPr>
          <w:rStyle w:val="Hyperlink"/>
        </w:rPr>
        <w:sectPr w:rsidR="004F03BA" w:rsidSect="00DB4C79">
          <w:headerReference w:type="even" r:id="rId11"/>
          <w:headerReference w:type="default" r:id="rId12"/>
          <w:footerReference w:type="even" r:id="rId13"/>
          <w:footerReference w:type="default" r:id="rId14"/>
          <w:headerReference w:type="first" r:id="rId15"/>
          <w:footerReference w:type="first" r:id="rId16"/>
          <w:pgSz w:w="11906" w:h="16838"/>
          <w:pgMar w:top="1702" w:right="1417" w:bottom="1134" w:left="1417" w:header="851" w:footer="285" w:gutter="0"/>
          <w:cols w:space="708"/>
          <w:docGrid w:linePitch="360"/>
        </w:sectPr>
      </w:pPr>
      <w:hyperlink r:id="rId17" w:history="1">
        <w:r w:rsidR="00590445" w:rsidRPr="00C77DE7">
          <w:rPr>
            <w:rStyle w:val="Hyperlink"/>
          </w:rPr>
          <w:t>https://www.internationale-katholische-jugendarbeit.de/fileadmin/jugendarbeit/VHA_IJA_Methodenkoffer_Gesamt_Digital_2021_FINAL.pdf</w:t>
        </w:r>
      </w:hyperlink>
    </w:p>
    <w:p w:rsidR="00590445" w:rsidRDefault="00590445" w:rsidP="00E67DE5">
      <w:pPr>
        <w:jc w:val="both"/>
      </w:pPr>
      <w:r w:rsidRPr="00590445">
        <w:lastRenderedPageBreak/>
        <w:t xml:space="preserve">In einer Zeit, in der </w:t>
      </w:r>
      <w:proofErr w:type="spellStart"/>
      <w:r w:rsidRPr="00590445">
        <w:t>queere</w:t>
      </w:r>
      <w:proofErr w:type="spellEnd"/>
      <w:r w:rsidRPr="00590445">
        <w:t xml:space="preserve"> Identitäten oft erklärt werden müssen, steht besonders jungen Menschen eine herausfordernde Reise zur Selbstakzeptanz bevor. Der Landesjugendring Niedersachsen hat erkannt, dass </w:t>
      </w:r>
      <w:r w:rsidR="003A3031">
        <w:t xml:space="preserve">oft </w:t>
      </w:r>
      <w:r w:rsidRPr="00590445">
        <w:t xml:space="preserve">Wissen und </w:t>
      </w:r>
      <w:r w:rsidRPr="003A3031">
        <w:rPr>
          <w:b/>
        </w:rPr>
        <w:t xml:space="preserve">Methoden zum Umgang mit </w:t>
      </w:r>
      <w:proofErr w:type="spellStart"/>
      <w:r w:rsidRPr="003A3031">
        <w:rPr>
          <w:b/>
        </w:rPr>
        <w:t>queeren</w:t>
      </w:r>
      <w:proofErr w:type="spellEnd"/>
      <w:r w:rsidRPr="003A3031">
        <w:rPr>
          <w:b/>
        </w:rPr>
        <w:t xml:space="preserve"> Themen</w:t>
      </w:r>
      <w:r w:rsidRPr="00590445">
        <w:t xml:space="preserve"> fehlen. Deshalb präsentiert dieser Methodenkoffer erprobte Ansätze zur Sensibilisierung und Annäherung an das Thema. Ein wichtiger Schritt, um die Akzeptanz zu fördern und Jugendliche in ihrer Identitätsfindung zu unterstützen. </w:t>
      </w:r>
    </w:p>
    <w:p w:rsidR="003A3031" w:rsidRDefault="000221F0" w:rsidP="00E67DE5">
      <w:pPr>
        <w:jc w:val="both"/>
      </w:pPr>
      <w:hyperlink r:id="rId18" w:history="1">
        <w:r w:rsidR="003A3031" w:rsidRPr="00C77DE7">
          <w:rPr>
            <w:rStyle w:val="Hyperlink"/>
          </w:rPr>
          <w:t>http://www.nextqueer.de/wp-content/uploads/2020/02/Methodenkoffer_heft.pdf</w:t>
        </w:r>
      </w:hyperlink>
    </w:p>
    <w:p w:rsidR="003A3031" w:rsidRDefault="003A3031" w:rsidP="00E67DE5">
      <w:pPr>
        <w:jc w:val="both"/>
      </w:pPr>
      <w:r w:rsidRPr="003A3031">
        <w:t xml:space="preserve">Die Deutsche Kinder- und Jugendstiftung präsentiert mit der </w:t>
      </w:r>
      <w:r w:rsidRPr="003A3031">
        <w:rPr>
          <w:b/>
        </w:rPr>
        <w:t>Toolbox Kinderbeteiligung</w:t>
      </w:r>
      <w:r w:rsidRPr="003A3031">
        <w:t xml:space="preserve"> ein umfassendes Set an Ressourcen, um die Stimmen der Jüngsten in kommunalen Entscheidungen zu integrieren. Von theoretischen Grundlagen bis zu praktischen Arbeitsvorlagen bietet diese Toolbox alles, was Kommunen, Schulen, Kitas, Vereine und Familien brauchen, um kindgerechte Beteiligungsformate zu schaffen.</w:t>
      </w:r>
    </w:p>
    <w:p w:rsidR="003A3031" w:rsidRDefault="000221F0" w:rsidP="00E67DE5">
      <w:pPr>
        <w:jc w:val="both"/>
      </w:pPr>
      <w:hyperlink r:id="rId19" w:history="1">
        <w:r w:rsidR="003A3031" w:rsidRPr="00C77DE7">
          <w:rPr>
            <w:rStyle w:val="Hyperlink"/>
          </w:rPr>
          <w:t>https://www.starkimland.de/toolbox-kinderbeteiligung/</w:t>
        </w:r>
      </w:hyperlink>
    </w:p>
    <w:p w:rsidR="003A3031" w:rsidRDefault="003A3031" w:rsidP="00E67DE5">
      <w:pPr>
        <w:jc w:val="both"/>
      </w:pPr>
      <w:r w:rsidRPr="003A3031">
        <w:t xml:space="preserve">Das Machbarometer bietet Fachkräften der Offenen Kinder- und Jugendarbeit einen strukturierten Zugang zu </w:t>
      </w:r>
      <w:r w:rsidRPr="00A065CE">
        <w:rPr>
          <w:b/>
        </w:rPr>
        <w:t>partizipativen Methoden und Tools</w:t>
      </w:r>
      <w:r w:rsidRPr="003A3031">
        <w:t>. Konzipiert als zentrales Hilfsmittel, ermöglicht es Nutzer*innen, durch spezifische Kategorien und Filter geeignete Beteiligungsmethoden für ihre Projekte zu finden. Hinter der Initiative steht die AGOT-NRW, die Interessenvertretung Offener Kinder- und Jugendeinrichtungen in Nordrhein-Westfalen</w:t>
      </w:r>
      <w:r>
        <w:t>.</w:t>
      </w:r>
    </w:p>
    <w:p w:rsidR="003A3031" w:rsidRDefault="000221F0" w:rsidP="00E67DE5">
      <w:pPr>
        <w:jc w:val="both"/>
      </w:pPr>
      <w:hyperlink r:id="rId20" w:history="1">
        <w:r w:rsidR="003A3031" w:rsidRPr="00C77DE7">
          <w:rPr>
            <w:rStyle w:val="Hyperlink"/>
          </w:rPr>
          <w:t>https://app.machbarometer.de/n/phuaChoo4iepho/methodensammlung</w:t>
        </w:r>
      </w:hyperlink>
    </w:p>
    <w:p w:rsidR="003A3031" w:rsidRDefault="00A065CE" w:rsidP="00E67DE5">
      <w:pPr>
        <w:jc w:val="both"/>
      </w:pPr>
      <w:r w:rsidRPr="00A065CE">
        <w:t xml:space="preserve">Die </w:t>
      </w:r>
      <w:proofErr w:type="spellStart"/>
      <w:r w:rsidRPr="00A065CE">
        <w:t>eNu</w:t>
      </w:r>
      <w:proofErr w:type="spellEnd"/>
      <w:r w:rsidRPr="00A065CE">
        <w:t xml:space="preserve"> setzt auf </w:t>
      </w:r>
      <w:r w:rsidRPr="00A065CE">
        <w:rPr>
          <w:b/>
        </w:rPr>
        <w:t>Umweltpädagogik</w:t>
      </w:r>
      <w:r w:rsidRPr="00A065CE">
        <w:t xml:space="preserve"> und vermittelt Wissen </w:t>
      </w:r>
      <w:proofErr w:type="gramStart"/>
      <w:r w:rsidRPr="00A065CE">
        <w:t>auf spannende</w:t>
      </w:r>
      <w:proofErr w:type="gramEnd"/>
      <w:r w:rsidRPr="00A065CE">
        <w:t xml:space="preserve"> Weise, getreu ihrem Motto „Erforschen, entdecken, erleben“. Dabei bieten sie Pädagogen methodische Unterstützung, um junge Menschen für Klima und Natur zu begeistern, und erstellen relevante</w:t>
      </w:r>
      <w:r>
        <w:t xml:space="preserve"> Bildungsmaterialien.</w:t>
      </w:r>
    </w:p>
    <w:p w:rsidR="00A065CE" w:rsidRDefault="000221F0" w:rsidP="00E67DE5">
      <w:pPr>
        <w:jc w:val="both"/>
      </w:pPr>
      <w:hyperlink r:id="rId21" w:history="1">
        <w:r w:rsidR="00A065CE" w:rsidRPr="00C77DE7">
          <w:rPr>
            <w:rStyle w:val="Hyperlink"/>
          </w:rPr>
          <w:t>https://www.umwelt-bildung.at/methoden</w:t>
        </w:r>
      </w:hyperlink>
    </w:p>
    <w:p w:rsidR="00A065CE" w:rsidRPr="00A065CE" w:rsidRDefault="00A065CE" w:rsidP="00E67DE5">
      <w:pPr>
        <w:jc w:val="both"/>
      </w:pPr>
      <w:r w:rsidRPr="00A065CE">
        <w:t xml:space="preserve">Popkultur - mehr als nur Unterhaltung für die Jugend! Ob Musik, Kunst oder Medien, sie ist ein Medium der Kreativität und Teilhabe. Das Methodenhandbuch „Global Education Goes Pop“ nutzt genau diesen Einfluss und verbindet </w:t>
      </w:r>
      <w:r w:rsidRPr="00A065CE">
        <w:rPr>
          <w:b/>
        </w:rPr>
        <w:t>globale Themen mit der Popkultur</w:t>
      </w:r>
      <w:r w:rsidRPr="00A065CE">
        <w:t>. So wird ein jugendgerechter Ansatz geschaffen, der globales Bewusstsein im lokalen Umfeld fördert und das Lernen spannend gestaltet. Ein wertvolles Tool für Trainer und Jugendarbeiter, um junge Menschen effektiv und zeitgemäß zu erreichen.</w:t>
      </w:r>
    </w:p>
    <w:p w:rsidR="00A065CE" w:rsidRDefault="000221F0" w:rsidP="00E67DE5">
      <w:pPr>
        <w:jc w:val="both"/>
      </w:pPr>
      <w:hyperlink r:id="rId22" w:history="1">
        <w:r w:rsidR="00A065CE" w:rsidRPr="00C77DE7">
          <w:rPr>
            <w:rStyle w:val="Hyperlink"/>
          </w:rPr>
          <w:t>https://www.globaleslernen.de/sites/default/files/files/pages/Global_Education_Goes_Pop_-_Methodenhandbuch_fuer_die_Jugendarbeit.pdf</w:t>
        </w:r>
      </w:hyperlink>
    </w:p>
    <w:p w:rsidR="00A065CE" w:rsidRDefault="00A065CE" w:rsidP="00E67DE5">
      <w:pPr>
        <w:jc w:val="both"/>
      </w:pPr>
      <w:r w:rsidRPr="00A065CE">
        <w:t xml:space="preserve">Um die Diversität der Bedürfnisse von Jugendlichen zu berücksichtigen, haben die </w:t>
      </w:r>
      <w:proofErr w:type="spellStart"/>
      <w:r w:rsidRPr="00A065CE">
        <w:t>IN_Cultures</w:t>
      </w:r>
      <w:proofErr w:type="spellEnd"/>
      <w:r w:rsidRPr="00A065CE">
        <w:t xml:space="preserve">-Workshops sowohl ergebnisorientierte als auch freier gestaltete Formate angeboten. Das Ziel war nicht ein festes Curriculum, sondern die flexible Anpassung an den dynamischen Gruppenprozess und die unterschiedlichen Anforderungen. Hierbei kamen vor allem die von </w:t>
      </w:r>
      <w:proofErr w:type="spellStart"/>
      <w:r w:rsidRPr="00A065CE">
        <w:t>IN_Cultures</w:t>
      </w:r>
      <w:proofErr w:type="spellEnd"/>
      <w:r w:rsidRPr="00A065CE">
        <w:t xml:space="preserve"> entwickelten inklusiven Methoden zum Einsatz, die in dieser Handreichung </w:t>
      </w:r>
      <w:r w:rsidR="007E1F31">
        <w:t xml:space="preserve">von </w:t>
      </w:r>
      <w:proofErr w:type="spellStart"/>
      <w:r w:rsidR="007E1F31">
        <w:t>Cultures</w:t>
      </w:r>
      <w:proofErr w:type="spellEnd"/>
      <w:r w:rsidR="007E1F31">
        <w:t xml:space="preserve"> </w:t>
      </w:r>
      <w:proofErr w:type="spellStart"/>
      <w:r w:rsidR="007E1F31">
        <w:t>Interactives</w:t>
      </w:r>
      <w:proofErr w:type="spellEnd"/>
      <w:r w:rsidR="007E1F31">
        <w:t xml:space="preserve"> e.V. </w:t>
      </w:r>
      <w:r w:rsidRPr="00A065CE">
        <w:t>vorgestellt werden. Dieses Dokument dient somit als Werkzeugkasten für inklusive Jugendkulturarbeit.</w:t>
      </w:r>
    </w:p>
    <w:p w:rsidR="00E67DE5" w:rsidRDefault="000221F0" w:rsidP="00E67DE5">
      <w:pPr>
        <w:jc w:val="both"/>
        <w:rPr>
          <w:rStyle w:val="Hyperlink"/>
        </w:rPr>
      </w:pPr>
      <w:hyperlink r:id="rId23" w:history="1">
        <w:r w:rsidR="00A065CE" w:rsidRPr="00C77DE7">
          <w:rPr>
            <w:rStyle w:val="Hyperlink"/>
          </w:rPr>
          <w:t>https://www.cultures-interactive.de/files/publikationen/Flyer%20Broschueren%20Dokumentationen/2017_Best-practice-Methoden%20fuer%20die%20inklusive%20Jugendkulturarbeit.pdf</w:t>
        </w:r>
      </w:hyperlink>
    </w:p>
    <w:sectPr w:rsidR="00E67DE5" w:rsidSect="00E67DE5">
      <w:headerReference w:type="default" r:id="rId24"/>
      <w:pgSz w:w="11906" w:h="16838"/>
      <w:pgMar w:top="1417" w:right="1417" w:bottom="1134" w:left="1417" w:header="851"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A77" w:rsidRDefault="00A41A77" w:rsidP="003A3031">
      <w:pPr>
        <w:spacing w:after="0" w:line="240" w:lineRule="auto"/>
      </w:pPr>
      <w:r>
        <w:separator/>
      </w:r>
    </w:p>
  </w:endnote>
  <w:endnote w:type="continuationSeparator" w:id="0">
    <w:p w:rsidR="00A41A77" w:rsidRDefault="00A41A77" w:rsidP="003A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F0" w:rsidRDefault="000221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446789"/>
      <w:docPartObj>
        <w:docPartGallery w:val="Page Numbers (Bottom of Page)"/>
        <w:docPartUnique/>
      </w:docPartObj>
    </w:sdtPr>
    <w:sdtEndPr/>
    <w:sdtContent>
      <w:sdt>
        <w:sdtPr>
          <w:id w:val="-407310047"/>
          <w:docPartObj>
            <w:docPartGallery w:val="Page Numbers (Top of Page)"/>
            <w:docPartUnique/>
          </w:docPartObj>
        </w:sdtPr>
        <w:sdtEndPr/>
        <w:sdtContent>
          <w:p w:rsidR="00DB4C79" w:rsidRDefault="00DB4C79">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0221F0">
              <w:rPr>
                <w:b/>
                <w:bCs/>
                <w:noProof/>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0221F0">
              <w:rPr>
                <w:b/>
                <w:bCs/>
                <w:noProof/>
              </w:rPr>
              <w:t>2</w:t>
            </w:r>
            <w:r>
              <w:rPr>
                <w:b/>
                <w:bCs/>
                <w:sz w:val="24"/>
                <w:szCs w:val="24"/>
              </w:rPr>
              <w:fldChar w:fldCharType="end"/>
            </w:r>
            <w:r w:rsidR="000221F0">
              <w:rPr>
                <w:b/>
                <w:bCs/>
                <w:sz w:val="24"/>
                <w:szCs w:val="24"/>
              </w:rPr>
              <w:t xml:space="preserve"> </w:t>
            </w:r>
            <w:r w:rsidR="000221F0">
              <w:rPr>
                <w:b/>
                <w:bCs/>
                <w:sz w:val="24"/>
                <w:szCs w:val="24"/>
              </w:rPr>
              <w:tab/>
            </w:r>
            <w:r w:rsidR="000221F0">
              <w:rPr>
                <w:b/>
                <w:bCs/>
                <w:sz w:val="24"/>
                <w:szCs w:val="24"/>
              </w:rPr>
              <w:tab/>
            </w:r>
            <w:bookmarkStart w:id="0" w:name="_GoBack"/>
            <w:r w:rsidR="000221F0" w:rsidRPr="000221F0">
              <w:rPr>
                <w:bCs/>
                <w:sz w:val="18"/>
                <w:szCs w:val="18"/>
              </w:rPr>
              <w:t>Bearbeitungsstand 01/24</w:t>
            </w:r>
          </w:p>
        </w:sdtContent>
      </w:sdt>
      <w:bookmarkEnd w:id="0" w:displacedByCustomXml="next"/>
    </w:sdtContent>
  </w:sdt>
  <w:p w:rsidR="00DB4C79" w:rsidRDefault="00DB4C7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F0" w:rsidRDefault="000221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A77" w:rsidRDefault="00A41A77" w:rsidP="003A3031">
      <w:pPr>
        <w:spacing w:after="0" w:line="240" w:lineRule="auto"/>
      </w:pPr>
      <w:r>
        <w:separator/>
      </w:r>
    </w:p>
  </w:footnote>
  <w:footnote w:type="continuationSeparator" w:id="0">
    <w:p w:rsidR="00A41A77" w:rsidRDefault="00A41A77" w:rsidP="003A3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F0" w:rsidRDefault="000221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E5" w:rsidRPr="00E67DE5" w:rsidRDefault="00E67DE5" w:rsidP="00E67DE5">
    <w:pPr>
      <w:rPr>
        <w:color w:val="000000" w:themeColor="text1"/>
      </w:rPr>
    </w:pPr>
    <w:r w:rsidRPr="00E67DE5">
      <w:rPr>
        <w:rStyle w:val="Hyperlink"/>
        <w:color w:val="000000" w:themeColor="text1"/>
        <w:u w:val="none"/>
      </w:rPr>
      <w:t>Dies ist eine exemplarische, nicht vollständige Sammlung durch Externe. Die Angaben sind ohne Gewähr. Die letzte Aktualisierung erfolgte am 20.11.023</w:t>
    </w:r>
  </w:p>
  <w:p w:rsidR="004F03BA" w:rsidRPr="00E67DE5" w:rsidRDefault="004F03BA" w:rsidP="004F03BA">
    <w:pPr>
      <w:pStyle w:val="Titel"/>
      <w:rPr>
        <w:rFonts w:asciiTheme="minorHAnsi" w:hAnsiTheme="minorHAnsi" w:cstheme="minorHAnsi"/>
        <w:b/>
        <w:sz w:val="36"/>
        <w:szCs w:val="36"/>
      </w:rPr>
    </w:pPr>
    <w:r w:rsidRPr="00E67DE5">
      <w:rPr>
        <w:rFonts w:asciiTheme="minorHAnsi" w:hAnsiTheme="minorHAnsi" w:cstheme="minorHAnsi"/>
        <w:b/>
        <w:sz w:val="36"/>
        <w:szCs w:val="36"/>
      </w:rPr>
      <w:t>Methodenkoffer-Sammlung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1F0" w:rsidRDefault="000221F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DE5" w:rsidRPr="00E67DE5" w:rsidRDefault="00E67DE5" w:rsidP="00E67DE5">
    <w:pPr>
      <w:rPr>
        <w:color w:val="000000" w:themeColor="text1"/>
      </w:rPr>
    </w:pPr>
    <w:r w:rsidRPr="00E67DE5">
      <w:rPr>
        <w:rStyle w:val="Hyperlink"/>
        <w:color w:val="000000" w:themeColor="text1"/>
        <w:u w:val="none"/>
      </w:rPr>
      <w:t>Dies ist eine exemplarische, nicht vollständige Sammlung durch Externe. Die Angaben sind ohne Gewähr. Die letzte Aktualisierung erfolgte am 20.11.023</w:t>
    </w:r>
  </w:p>
  <w:p w:rsidR="004F03BA" w:rsidRPr="004F03BA" w:rsidRDefault="004F03BA" w:rsidP="004F03B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88"/>
    <w:rsid w:val="000221F0"/>
    <w:rsid w:val="002C5362"/>
    <w:rsid w:val="003A3031"/>
    <w:rsid w:val="004F03BA"/>
    <w:rsid w:val="00590445"/>
    <w:rsid w:val="007E1F31"/>
    <w:rsid w:val="0087067E"/>
    <w:rsid w:val="009D4554"/>
    <w:rsid w:val="00A065CE"/>
    <w:rsid w:val="00A41A77"/>
    <w:rsid w:val="00AA6B04"/>
    <w:rsid w:val="00D26388"/>
    <w:rsid w:val="00DB4C79"/>
    <w:rsid w:val="00E67D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335955"/>
  <w15:chartTrackingRefBased/>
  <w15:docId w15:val="{C8708FBF-72E6-4445-B59B-CE258F64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26388"/>
    <w:rPr>
      <w:color w:val="0563C1" w:themeColor="hyperlink"/>
      <w:u w:val="single"/>
    </w:rPr>
  </w:style>
  <w:style w:type="paragraph" w:styleId="Kopfzeile">
    <w:name w:val="header"/>
    <w:basedOn w:val="Standard"/>
    <w:link w:val="KopfzeileZchn"/>
    <w:uiPriority w:val="99"/>
    <w:unhideWhenUsed/>
    <w:rsid w:val="003A303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031"/>
  </w:style>
  <w:style w:type="paragraph" w:styleId="Fuzeile">
    <w:name w:val="footer"/>
    <w:basedOn w:val="Standard"/>
    <w:link w:val="FuzeileZchn"/>
    <w:uiPriority w:val="99"/>
    <w:unhideWhenUsed/>
    <w:rsid w:val="003A30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3031"/>
  </w:style>
  <w:style w:type="paragraph" w:styleId="Titel">
    <w:name w:val="Title"/>
    <w:basedOn w:val="Standard"/>
    <w:next w:val="Standard"/>
    <w:link w:val="TitelZchn"/>
    <w:uiPriority w:val="10"/>
    <w:qFormat/>
    <w:rsid w:val="003A30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A303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07331">
      <w:bodyDiv w:val="1"/>
      <w:marLeft w:val="0"/>
      <w:marRight w:val="0"/>
      <w:marTop w:val="0"/>
      <w:marBottom w:val="0"/>
      <w:divBdr>
        <w:top w:val="none" w:sz="0" w:space="0" w:color="auto"/>
        <w:left w:val="none" w:sz="0" w:space="0" w:color="auto"/>
        <w:bottom w:val="none" w:sz="0" w:space="0" w:color="auto"/>
        <w:right w:val="none" w:sz="0" w:space="0" w:color="auto"/>
      </w:divBdr>
      <w:divsChild>
        <w:div w:id="299573604">
          <w:marLeft w:val="0"/>
          <w:marRight w:val="0"/>
          <w:marTop w:val="0"/>
          <w:marBottom w:val="0"/>
          <w:divBdr>
            <w:top w:val="none" w:sz="0" w:space="0" w:color="auto"/>
            <w:left w:val="none" w:sz="0" w:space="0" w:color="auto"/>
            <w:bottom w:val="none" w:sz="0" w:space="0" w:color="auto"/>
            <w:right w:val="none" w:sz="0" w:space="0" w:color="auto"/>
          </w:divBdr>
          <w:divsChild>
            <w:div w:id="1841043488">
              <w:marLeft w:val="0"/>
              <w:marRight w:val="0"/>
              <w:marTop w:val="0"/>
              <w:marBottom w:val="0"/>
              <w:divBdr>
                <w:top w:val="none" w:sz="0" w:space="0" w:color="auto"/>
                <w:left w:val="none" w:sz="0" w:space="0" w:color="auto"/>
                <w:bottom w:val="none" w:sz="0" w:space="0" w:color="auto"/>
                <w:right w:val="none" w:sz="0" w:space="0" w:color="auto"/>
              </w:divBdr>
              <w:divsChild>
                <w:div w:id="336225710">
                  <w:marLeft w:val="0"/>
                  <w:marRight w:val="0"/>
                  <w:marTop w:val="0"/>
                  <w:marBottom w:val="0"/>
                  <w:divBdr>
                    <w:top w:val="none" w:sz="0" w:space="0" w:color="auto"/>
                    <w:left w:val="none" w:sz="0" w:space="0" w:color="auto"/>
                    <w:bottom w:val="none" w:sz="0" w:space="0" w:color="auto"/>
                    <w:right w:val="none" w:sz="0" w:space="0" w:color="auto"/>
                  </w:divBdr>
                  <w:divsChild>
                    <w:div w:id="8987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1250">
      <w:bodyDiv w:val="1"/>
      <w:marLeft w:val="0"/>
      <w:marRight w:val="0"/>
      <w:marTop w:val="0"/>
      <w:marBottom w:val="0"/>
      <w:divBdr>
        <w:top w:val="none" w:sz="0" w:space="0" w:color="auto"/>
        <w:left w:val="none" w:sz="0" w:space="0" w:color="auto"/>
        <w:bottom w:val="none" w:sz="0" w:space="0" w:color="auto"/>
        <w:right w:val="none" w:sz="0" w:space="0" w:color="auto"/>
      </w:divBdr>
      <w:divsChild>
        <w:div w:id="282536325">
          <w:marLeft w:val="0"/>
          <w:marRight w:val="0"/>
          <w:marTop w:val="0"/>
          <w:marBottom w:val="0"/>
          <w:divBdr>
            <w:top w:val="none" w:sz="0" w:space="0" w:color="auto"/>
            <w:left w:val="none" w:sz="0" w:space="0" w:color="auto"/>
            <w:bottom w:val="none" w:sz="0" w:space="0" w:color="auto"/>
            <w:right w:val="none" w:sz="0" w:space="0" w:color="auto"/>
          </w:divBdr>
          <w:divsChild>
            <w:div w:id="2108961195">
              <w:marLeft w:val="0"/>
              <w:marRight w:val="0"/>
              <w:marTop w:val="0"/>
              <w:marBottom w:val="0"/>
              <w:divBdr>
                <w:top w:val="none" w:sz="0" w:space="0" w:color="auto"/>
                <w:left w:val="none" w:sz="0" w:space="0" w:color="auto"/>
                <w:bottom w:val="none" w:sz="0" w:space="0" w:color="auto"/>
                <w:right w:val="none" w:sz="0" w:space="0" w:color="auto"/>
              </w:divBdr>
              <w:divsChild>
                <w:div w:id="1541435176">
                  <w:marLeft w:val="0"/>
                  <w:marRight w:val="0"/>
                  <w:marTop w:val="0"/>
                  <w:marBottom w:val="0"/>
                  <w:divBdr>
                    <w:top w:val="none" w:sz="0" w:space="0" w:color="auto"/>
                    <w:left w:val="none" w:sz="0" w:space="0" w:color="auto"/>
                    <w:bottom w:val="none" w:sz="0" w:space="0" w:color="auto"/>
                    <w:right w:val="none" w:sz="0" w:space="0" w:color="auto"/>
                  </w:divBdr>
                  <w:divsChild>
                    <w:div w:id="11227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ene-liste-praevention.de/nano.cms/datenbank/alle" TargetMode="External"/><Relationship Id="rId13" Type="http://schemas.openxmlformats.org/officeDocument/2006/relationships/footer" Target="footer1.xml"/><Relationship Id="rId18" Type="http://schemas.openxmlformats.org/officeDocument/2006/relationships/hyperlink" Target="http://www.nextqueer.de/wp-content/uploads/2020/02/Methodenkoffer_heft.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umwelt-bildung.at/methoden" TargetMode="External"/><Relationship Id="rId7" Type="http://schemas.openxmlformats.org/officeDocument/2006/relationships/hyperlink" Target="https://www.beratungsnetzwerk-sachsen-anhalt.de/images/docs/Publikationen/MethodenkofferfuerInterventionsmoeglichkeiteninderJugend-undSozialarbeit.pdf" TargetMode="External"/><Relationship Id="rId12" Type="http://schemas.openxmlformats.org/officeDocument/2006/relationships/header" Target="header2.xml"/><Relationship Id="rId17" Type="http://schemas.openxmlformats.org/officeDocument/2006/relationships/hyperlink" Target="https://www.internationale-katholische-jugendarbeit.de/fileadmin/jugendarbeit/VHA_IJA_Methodenkoffer_Gesamt_Digital_2021_FINAL.pd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hyperlink" Target="https://app.machbarometer.de/n/phuaChoo4iepho/methodensammlung" TargetMode="External"/><Relationship Id="rId1" Type="http://schemas.openxmlformats.org/officeDocument/2006/relationships/styles" Target="styles.xml"/><Relationship Id="rId6" Type="http://schemas.openxmlformats.org/officeDocument/2006/relationships/hyperlink" Target="https://www.sozialraum.de/methodenkoffer/" TargetMode="Externa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s://www.cultures-interactive.de/files/publikationen/Flyer%20Broschueren%20Dokumentationen/2017_Best-practice-Methoden%20fuer%20die%20inklusive%20Jugendkulturarbeit.pdf" TargetMode="External"/><Relationship Id="rId10" Type="http://schemas.openxmlformats.org/officeDocument/2006/relationships/hyperlink" Target="https://www.bbs-ehs-trier.de/schulformen/fs/fss/fss_Methodenpool_Sozialpaedagogik.pdf" TargetMode="External"/><Relationship Id="rId19" Type="http://schemas.openxmlformats.org/officeDocument/2006/relationships/hyperlink" Target="https://www.starkimland.de/toolbox-kinderbeteiligung/" TargetMode="External"/><Relationship Id="rId4" Type="http://schemas.openxmlformats.org/officeDocument/2006/relationships/footnotes" Target="footnotes.xml"/><Relationship Id="rId9" Type="http://schemas.openxmlformats.org/officeDocument/2006/relationships/hyperlink" Target="https://www.wegweiser-praevention.de/empfehlungen.html" TargetMode="External"/><Relationship Id="rId14" Type="http://schemas.openxmlformats.org/officeDocument/2006/relationships/footer" Target="footer2.xml"/><Relationship Id="rId22" Type="http://schemas.openxmlformats.org/officeDocument/2006/relationships/hyperlink" Target="https://www.globaleslernen.de/sites/default/files/files/pages/Global_Education_Goes_Pop_-_Methodenhandbuch_fuer_die_Jugendarbe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1079</Words>
  <Characters>6801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Bölle</dc:creator>
  <cp:keywords/>
  <dc:description/>
  <cp:lastModifiedBy>Schulze, Claudia</cp:lastModifiedBy>
  <cp:revision>4</cp:revision>
  <dcterms:created xsi:type="dcterms:W3CDTF">2023-10-13T06:37:00Z</dcterms:created>
  <dcterms:modified xsi:type="dcterms:W3CDTF">2024-01-09T14:56:00Z</dcterms:modified>
</cp:coreProperties>
</file>