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ED" w:rsidRDefault="00B011ED">
      <w:pPr>
        <w:spacing w:after="10" w:line="248" w:lineRule="auto"/>
        <w:ind w:left="-5"/>
        <w:rPr>
          <w:rFonts w:ascii="Calibri" w:eastAsia="Calibri" w:hAnsi="Calibri" w:cs="Calibri"/>
          <w:b/>
          <w:sz w:val="22"/>
        </w:rPr>
      </w:pPr>
      <w:bookmarkStart w:id="0" w:name="_GoBack"/>
      <w:bookmarkEnd w:id="0"/>
    </w:p>
    <w:p w:rsidR="00B011ED" w:rsidRDefault="00B011ED">
      <w:pPr>
        <w:spacing w:after="10" w:line="248" w:lineRule="auto"/>
        <w:ind w:left="-5"/>
        <w:rPr>
          <w:rFonts w:ascii="Calibri" w:eastAsia="Calibri" w:hAnsi="Calibri" w:cs="Calibri"/>
          <w:b/>
          <w:sz w:val="22"/>
        </w:rPr>
      </w:pPr>
    </w:p>
    <w:p w:rsidR="00B011ED" w:rsidRDefault="00B011ED">
      <w:pPr>
        <w:spacing w:after="10" w:line="248" w:lineRule="auto"/>
        <w:ind w:left="-5"/>
        <w:rPr>
          <w:rFonts w:ascii="Calibri" w:eastAsia="Calibri" w:hAnsi="Calibri" w:cs="Calibri"/>
          <w:b/>
          <w:sz w:val="22"/>
        </w:rPr>
      </w:pPr>
    </w:p>
    <w:p w:rsidR="0093359B" w:rsidRPr="00D60914" w:rsidRDefault="00F869B8" w:rsidP="00D60914">
      <w:pPr>
        <w:spacing w:after="10" w:line="248" w:lineRule="auto"/>
        <w:ind w:left="0" w:firstLine="0"/>
        <w:jc w:val="center"/>
        <w:rPr>
          <w:sz w:val="28"/>
          <w:szCs w:val="28"/>
        </w:rPr>
      </w:pPr>
      <w:r w:rsidRPr="00D60914">
        <w:rPr>
          <w:rFonts w:ascii="Calibri" w:eastAsia="Calibri" w:hAnsi="Calibri" w:cs="Calibri"/>
          <w:b/>
          <w:sz w:val="28"/>
          <w:szCs w:val="28"/>
        </w:rPr>
        <w:t>Rechtsgrundlagen/Voraussetzungen für die Wahl zur ehrenamtlichen Richterin/zum ehrenamtlichen Richter beim Verwaltungsgeric</w:t>
      </w:r>
      <w:r w:rsidR="00D60914" w:rsidRPr="00D60914">
        <w:rPr>
          <w:rFonts w:ascii="Calibri" w:eastAsia="Calibri" w:hAnsi="Calibri" w:cs="Calibri"/>
          <w:b/>
          <w:sz w:val="28"/>
          <w:szCs w:val="28"/>
        </w:rPr>
        <w:t>ht/ Oberverwaltungsgericht</w:t>
      </w:r>
    </w:p>
    <w:p w:rsidR="00F869B8" w:rsidRPr="00B011ED" w:rsidRDefault="00F869B8">
      <w:pPr>
        <w:spacing w:after="251" w:line="259" w:lineRule="auto"/>
        <w:ind w:left="0" w:firstLine="0"/>
        <w:rPr>
          <w:rFonts w:ascii="Calibri" w:eastAsia="Calibri" w:hAnsi="Calibri" w:cs="Calibri"/>
          <w:sz w:val="22"/>
        </w:rPr>
      </w:pPr>
    </w:p>
    <w:p w:rsidR="0093359B" w:rsidRDefault="00F869B8">
      <w:pPr>
        <w:spacing w:after="287" w:line="259" w:lineRule="auto"/>
        <w:ind w:left="581" w:firstLine="0"/>
      </w:pPr>
      <w:r>
        <w:rPr>
          <w:b/>
          <w:sz w:val="22"/>
        </w:rPr>
        <w:t xml:space="preserve">Verwaltungsgerichtsordnung (VwGO) - 3. Abschnitt - Ehrenamtliche Richter </w:t>
      </w:r>
    </w:p>
    <w:p w:rsidR="00B011ED" w:rsidRDefault="00F869B8" w:rsidP="00B011ED">
      <w:pPr>
        <w:pStyle w:val="berschrift3"/>
      </w:pPr>
      <w:r>
        <w:t xml:space="preserve">§ 19  </w:t>
      </w:r>
    </w:p>
    <w:p w:rsidR="0093359B" w:rsidRPr="00B011ED" w:rsidRDefault="00F869B8" w:rsidP="00B011ED">
      <w:pPr>
        <w:pStyle w:val="berschrift3"/>
        <w:jc w:val="left"/>
        <w:rPr>
          <w:b w:val="0"/>
        </w:rPr>
      </w:pPr>
      <w:r w:rsidRPr="00B011ED">
        <w:rPr>
          <w:b w:val="0"/>
        </w:rPr>
        <w:t xml:space="preserve">Der ehrenamtliche Richter wirkt bei der mündlichen Verhandlung und der Urteilsfindung mit gleichen Rechten wie der Richter mit. </w:t>
      </w:r>
    </w:p>
    <w:p w:rsidR="0093359B" w:rsidRDefault="00F869B8">
      <w:pPr>
        <w:pStyle w:val="berschrift3"/>
      </w:pPr>
      <w:r>
        <w:t xml:space="preserve">§ 20  </w:t>
      </w:r>
    </w:p>
    <w:p w:rsidR="0093359B" w:rsidRDefault="00F869B8">
      <w:pPr>
        <w:spacing w:after="288"/>
        <w:ind w:left="-5"/>
      </w:pPr>
      <w:r>
        <w:t xml:space="preserve">Der ehrenamtliche Richter </w:t>
      </w:r>
      <w:proofErr w:type="spellStart"/>
      <w:r>
        <w:t>muß</w:t>
      </w:r>
      <w:proofErr w:type="spellEnd"/>
      <w:r>
        <w:t xml:space="preserve"> Deutscher sein. Er soll das 25. Lebensjahr vollendet und seinen Wohnsitz innerhalb des Gerichtsbezirks haben. </w:t>
      </w:r>
    </w:p>
    <w:p w:rsidR="0093359B" w:rsidRDefault="00F869B8">
      <w:pPr>
        <w:pStyle w:val="berschrift3"/>
      </w:pPr>
      <w:r>
        <w:t xml:space="preserve">§ 21  </w:t>
      </w:r>
    </w:p>
    <w:p w:rsidR="0093359B" w:rsidRDefault="00F869B8">
      <w:pPr>
        <w:ind w:left="-5"/>
      </w:pPr>
      <w:r>
        <w:t xml:space="preserve">(1) Vom Amt des ehrenamtlichen Richters sind ausgeschlossen  </w:t>
      </w:r>
    </w:p>
    <w:p w:rsidR="0093359B" w:rsidRDefault="00F869B8">
      <w:pPr>
        <w:spacing w:after="17" w:line="259" w:lineRule="auto"/>
        <w:ind w:left="0" w:firstLine="0"/>
      </w:pPr>
      <w:r>
        <w:t xml:space="preserve"> </w:t>
      </w:r>
    </w:p>
    <w:p w:rsidR="0093359B" w:rsidRDefault="00F869B8">
      <w:pPr>
        <w:numPr>
          <w:ilvl w:val="0"/>
          <w:numId w:val="2"/>
        </w:numPr>
        <w:spacing w:after="204"/>
        <w:ind w:hanging="706"/>
      </w:pPr>
      <w:r>
        <w:t xml:space="preserve">Personen, die infolge Richterspruchs die Fähigkeit zur Bekleidung öffentlicher Ämter nicht besitzen oder wegen einer vorsätzlichen Tat zu einer Freiheitsstrafe von mehr als sechs Monaten verurteilt worden sind, </w:t>
      </w:r>
    </w:p>
    <w:p w:rsidR="0093359B" w:rsidRDefault="00F869B8">
      <w:pPr>
        <w:numPr>
          <w:ilvl w:val="0"/>
          <w:numId w:val="2"/>
        </w:numPr>
        <w:spacing w:after="206"/>
        <w:ind w:hanging="706"/>
      </w:pPr>
      <w:r>
        <w:t xml:space="preserve">Personen, gegen die Anklage wegen einer Tat erhoben ist, die den Verlust der Fähigkeit zur Bekleidung öffentlicher Ämter zur Folge haben kann, </w:t>
      </w:r>
    </w:p>
    <w:p w:rsidR="0093359B" w:rsidRDefault="00F869B8">
      <w:pPr>
        <w:numPr>
          <w:ilvl w:val="0"/>
          <w:numId w:val="2"/>
        </w:numPr>
        <w:spacing w:after="206"/>
        <w:ind w:hanging="706"/>
      </w:pPr>
      <w:r>
        <w:t xml:space="preserve">Personen, die nicht das Wahlrecht zu den gesetzgebenden Körperschaften des Landes besitzen. </w:t>
      </w:r>
    </w:p>
    <w:p w:rsidR="0093359B" w:rsidRDefault="00F869B8">
      <w:pPr>
        <w:spacing w:after="34"/>
        <w:ind w:left="-5"/>
      </w:pPr>
      <w:r>
        <w:t xml:space="preserve">(2) Personen, die in Vermögensverfall geraten sind, sollen nicht zu ehrenamtlichen Richtern berufen werden. </w:t>
      </w:r>
    </w:p>
    <w:p w:rsidR="0093359B" w:rsidRDefault="00F869B8">
      <w:pPr>
        <w:pStyle w:val="berschrift3"/>
        <w:spacing w:after="137"/>
        <w:ind w:right="5"/>
      </w:pPr>
      <w:r>
        <w:t>§ 22</w:t>
      </w:r>
      <w:r>
        <w:rPr>
          <w:rFonts w:ascii="Arial" w:eastAsia="Arial" w:hAnsi="Arial" w:cs="Arial"/>
          <w:b w:val="0"/>
        </w:rPr>
        <w:t xml:space="preserve"> </w:t>
      </w:r>
    </w:p>
    <w:p w:rsidR="0093359B" w:rsidRDefault="00F869B8">
      <w:pPr>
        <w:ind w:left="-5"/>
      </w:pPr>
      <w:r>
        <w:t xml:space="preserve">Zu ehrenamtlichen Richtern können nicht berufen werden  </w:t>
      </w:r>
    </w:p>
    <w:p w:rsidR="0093359B" w:rsidRDefault="00F869B8">
      <w:pPr>
        <w:ind w:left="-5" w:right="266"/>
      </w:pPr>
      <w:r>
        <w:t xml:space="preserve">1. Mitglieder des Bundestages, des Europäischen Parlaments, der gesetzgebenden Körperschaften eines Landes, der Bundesregierung oder einer Landesregierung, 2. Richter, </w:t>
      </w:r>
    </w:p>
    <w:p w:rsidR="0093359B" w:rsidRDefault="00F869B8">
      <w:pPr>
        <w:numPr>
          <w:ilvl w:val="0"/>
          <w:numId w:val="3"/>
        </w:numPr>
        <w:ind w:hanging="221"/>
      </w:pPr>
      <w:r>
        <w:t xml:space="preserve">Beamte und Angestellte im öffentlichen Dienst, soweit sie nicht ehrenamtlich tätig </w:t>
      </w:r>
      <w:proofErr w:type="gramStart"/>
      <w:r>
        <w:t>sind,#</w:t>
      </w:r>
      <w:proofErr w:type="gramEnd"/>
    </w:p>
    <w:p w:rsidR="0093359B" w:rsidRDefault="00F869B8">
      <w:pPr>
        <w:numPr>
          <w:ilvl w:val="0"/>
          <w:numId w:val="3"/>
        </w:numPr>
        <w:ind w:hanging="221"/>
      </w:pPr>
      <w:r>
        <w:t xml:space="preserve">Berufssoldaten und Soldaten auf Zeit, </w:t>
      </w:r>
    </w:p>
    <w:p w:rsidR="0093359B" w:rsidRDefault="00F869B8">
      <w:pPr>
        <w:ind w:left="-5"/>
      </w:pPr>
      <w:r>
        <w:t xml:space="preserve">4a. (weggefallen) </w:t>
      </w:r>
    </w:p>
    <w:p w:rsidR="0093359B" w:rsidRDefault="00F869B8">
      <w:pPr>
        <w:numPr>
          <w:ilvl w:val="0"/>
          <w:numId w:val="3"/>
        </w:numPr>
        <w:spacing w:after="236"/>
        <w:ind w:hanging="221"/>
      </w:pPr>
      <w:r>
        <w:t xml:space="preserve">Rechtsanwälte, Notare und Personen, die fremde Rechtsangelegenheiten geschäftsmäßig besorgen. </w:t>
      </w:r>
    </w:p>
    <w:p w:rsidR="00F869B8" w:rsidRDefault="00F869B8" w:rsidP="00F869B8">
      <w:pPr>
        <w:spacing w:after="236"/>
      </w:pPr>
      <w:r>
        <w:t># beachte § 186 Satz 1 VwGO</w:t>
      </w:r>
    </w:p>
    <w:p w:rsidR="0093359B" w:rsidRDefault="00F869B8">
      <w:pPr>
        <w:pStyle w:val="berschrift3"/>
        <w:spacing w:after="214"/>
        <w:ind w:right="5"/>
      </w:pPr>
      <w:r>
        <w:t>§ 23</w:t>
      </w:r>
      <w:r>
        <w:rPr>
          <w:rFonts w:ascii="Arial" w:eastAsia="Arial" w:hAnsi="Arial" w:cs="Arial"/>
          <w:b w:val="0"/>
        </w:rPr>
        <w:t xml:space="preserve"> </w:t>
      </w:r>
    </w:p>
    <w:p w:rsidR="0093359B" w:rsidRDefault="00F869B8">
      <w:pPr>
        <w:ind w:left="-5"/>
      </w:pPr>
      <w:r>
        <w:t xml:space="preserve">(1) Die Berufung zum Amt des ehrenamtlichen Richters dürfen ablehnen  </w:t>
      </w:r>
    </w:p>
    <w:p w:rsidR="0093359B" w:rsidRDefault="00F869B8">
      <w:pPr>
        <w:numPr>
          <w:ilvl w:val="0"/>
          <w:numId w:val="4"/>
        </w:numPr>
        <w:ind w:hanging="221"/>
      </w:pPr>
      <w:r>
        <w:t xml:space="preserve">Geistliche und Religionsdiener, </w:t>
      </w:r>
    </w:p>
    <w:p w:rsidR="0093359B" w:rsidRDefault="00F869B8">
      <w:pPr>
        <w:numPr>
          <w:ilvl w:val="0"/>
          <w:numId w:val="4"/>
        </w:numPr>
        <w:ind w:hanging="221"/>
      </w:pPr>
      <w:r>
        <w:t xml:space="preserve">Schöffen und andere ehrenamtliche Richter, </w:t>
      </w:r>
    </w:p>
    <w:p w:rsidR="0093359B" w:rsidRDefault="00F869B8">
      <w:pPr>
        <w:numPr>
          <w:ilvl w:val="0"/>
          <w:numId w:val="4"/>
        </w:numPr>
        <w:ind w:hanging="221"/>
      </w:pPr>
      <w:r>
        <w:t xml:space="preserve">Personen, die zwei Amtsperioden lang als ehrenamtliche Richter bei Gerichten der allgemeinen </w:t>
      </w:r>
    </w:p>
    <w:p w:rsidR="0093359B" w:rsidRDefault="00F869B8">
      <w:pPr>
        <w:ind w:left="-5"/>
      </w:pPr>
      <w:r>
        <w:t xml:space="preserve">Verwaltungsgerichtsbarkeit tätig gewesen sind, </w:t>
      </w:r>
    </w:p>
    <w:p w:rsidR="0093359B" w:rsidRDefault="00F869B8">
      <w:pPr>
        <w:numPr>
          <w:ilvl w:val="0"/>
          <w:numId w:val="4"/>
        </w:numPr>
        <w:ind w:hanging="221"/>
      </w:pPr>
      <w:r>
        <w:t xml:space="preserve">Ärzte, Krankenpfleger, Hebammen, </w:t>
      </w:r>
    </w:p>
    <w:p w:rsidR="0093359B" w:rsidRDefault="00F869B8">
      <w:pPr>
        <w:numPr>
          <w:ilvl w:val="0"/>
          <w:numId w:val="4"/>
        </w:numPr>
        <w:ind w:hanging="221"/>
      </w:pPr>
      <w:r>
        <w:t xml:space="preserve">Apothekenleiter, die keinen weiteren Apotheker beschäftigen, </w:t>
      </w:r>
    </w:p>
    <w:p w:rsidR="0093359B" w:rsidRDefault="00F869B8">
      <w:pPr>
        <w:numPr>
          <w:ilvl w:val="0"/>
          <w:numId w:val="4"/>
        </w:numPr>
        <w:ind w:hanging="221"/>
      </w:pPr>
      <w:r>
        <w:lastRenderedPageBreak/>
        <w:t xml:space="preserve">Personen, die die Regelaltersgrenze nach dem Sechsten Buch Sozialgesetzbuch erreicht haben. </w:t>
      </w:r>
    </w:p>
    <w:p w:rsidR="0093359B" w:rsidRDefault="00F869B8">
      <w:pPr>
        <w:spacing w:after="288"/>
        <w:ind w:left="-5"/>
      </w:pPr>
      <w:r>
        <w:t xml:space="preserve">(2) In besonderen Härtefällen kann außerdem auf Antrag von der Übernahme des Amtes befreit werden. </w:t>
      </w:r>
    </w:p>
    <w:p w:rsidR="0093359B" w:rsidRDefault="00F869B8">
      <w:pPr>
        <w:pStyle w:val="berschrift3"/>
      </w:pPr>
      <w:r>
        <w:t xml:space="preserve">§ 24  </w:t>
      </w:r>
    </w:p>
    <w:p w:rsidR="0093359B" w:rsidRDefault="00F869B8">
      <w:pPr>
        <w:ind w:left="-5"/>
      </w:pPr>
      <w:r>
        <w:t xml:space="preserve">(1) Ein ehrenamtlicher Richter ist von seinem Amt zu entbinden, wenn er  </w:t>
      </w:r>
    </w:p>
    <w:p w:rsidR="0093359B" w:rsidRDefault="00F869B8">
      <w:pPr>
        <w:spacing w:after="19" w:line="259" w:lineRule="auto"/>
        <w:ind w:left="0" w:firstLine="0"/>
      </w:pPr>
      <w:r>
        <w:t xml:space="preserve"> </w:t>
      </w:r>
    </w:p>
    <w:p w:rsidR="0093359B" w:rsidRDefault="00F869B8">
      <w:pPr>
        <w:numPr>
          <w:ilvl w:val="0"/>
          <w:numId w:val="5"/>
        </w:numPr>
        <w:ind w:hanging="221"/>
      </w:pPr>
      <w:r>
        <w:t xml:space="preserve">nach §§ 20 bis 22 nicht berufen werden konnte oder nicht mehr berufen werden kann oder </w:t>
      </w:r>
    </w:p>
    <w:p w:rsidR="0093359B" w:rsidRDefault="00F869B8">
      <w:pPr>
        <w:numPr>
          <w:ilvl w:val="0"/>
          <w:numId w:val="5"/>
        </w:numPr>
        <w:ind w:hanging="221"/>
      </w:pPr>
      <w:r>
        <w:t xml:space="preserve">seine Amtspflichten gröblich verletzt hat oder </w:t>
      </w:r>
    </w:p>
    <w:p w:rsidR="0093359B" w:rsidRDefault="00F869B8">
      <w:pPr>
        <w:numPr>
          <w:ilvl w:val="0"/>
          <w:numId w:val="5"/>
        </w:numPr>
        <w:ind w:hanging="221"/>
      </w:pPr>
      <w:r>
        <w:t xml:space="preserve">einen Ablehnungsgrund nach § 23 Abs. 1 geltend macht oder </w:t>
      </w:r>
    </w:p>
    <w:p w:rsidR="0093359B" w:rsidRDefault="00F869B8">
      <w:pPr>
        <w:numPr>
          <w:ilvl w:val="0"/>
          <w:numId w:val="5"/>
        </w:numPr>
        <w:ind w:hanging="221"/>
      </w:pPr>
      <w:r>
        <w:t xml:space="preserve">die zur Ausübung seines Amtes erforderlichen geistigen oder körperlichen Fähigkeiten nicht mehr besitzt oder </w:t>
      </w:r>
    </w:p>
    <w:p w:rsidR="0093359B" w:rsidRDefault="00F869B8">
      <w:pPr>
        <w:numPr>
          <w:ilvl w:val="0"/>
          <w:numId w:val="5"/>
        </w:numPr>
        <w:spacing w:after="207"/>
        <w:ind w:hanging="221"/>
      </w:pPr>
      <w:r>
        <w:t xml:space="preserve">seinen Wohnsitz im Gerichtsbezirk aufgibt. </w:t>
      </w:r>
    </w:p>
    <w:p w:rsidR="0093359B" w:rsidRDefault="00F869B8">
      <w:pPr>
        <w:numPr>
          <w:ilvl w:val="0"/>
          <w:numId w:val="6"/>
        </w:numPr>
        <w:ind w:hanging="299"/>
      </w:pPr>
      <w:r>
        <w:t xml:space="preserve">In besonderen Härtefällen kann außerdem auf Antrag von der weiteren Ausübung des Amtes entbunden werden. </w:t>
      </w:r>
    </w:p>
    <w:p w:rsidR="0093359B" w:rsidRDefault="00F869B8">
      <w:pPr>
        <w:numPr>
          <w:ilvl w:val="0"/>
          <w:numId w:val="6"/>
        </w:numPr>
        <w:ind w:hanging="299"/>
      </w:pPr>
      <w:r>
        <w:t xml:space="preserve">Die Entscheidung trifft ein Senat des Oberverwaltungsgerichts in den Fällen des Absatzes 1 Nr. 1, </w:t>
      </w:r>
    </w:p>
    <w:p w:rsidR="0093359B" w:rsidRDefault="00F869B8">
      <w:pPr>
        <w:spacing w:after="207"/>
        <w:ind w:left="-5"/>
      </w:pPr>
      <w:r>
        <w:t xml:space="preserve">2 und 4 auf Antrag des Präsidenten des Verwaltungsgerichts, in den Fällen des Absatzes 1 Nr. 3 und 5 und des Absatzes 2 auf Antrag des ehrenamtlichen Richters. Die Entscheidung ergeht durch </w:t>
      </w:r>
      <w:proofErr w:type="spellStart"/>
      <w:r>
        <w:t>Beschluß</w:t>
      </w:r>
      <w:proofErr w:type="spellEnd"/>
      <w:r>
        <w:t xml:space="preserve"> nach Anhörung des ehrenamtlichen Richters. Sie ist unanfechtbar. </w:t>
      </w:r>
    </w:p>
    <w:p w:rsidR="0093359B" w:rsidRDefault="00F869B8">
      <w:pPr>
        <w:numPr>
          <w:ilvl w:val="0"/>
          <w:numId w:val="7"/>
        </w:numPr>
        <w:spacing w:after="207"/>
        <w:ind w:hanging="299"/>
      </w:pPr>
      <w:r>
        <w:t xml:space="preserve">Absatz 3 gilt entsprechend in den Fällen des § 23 Abs. 2. </w:t>
      </w:r>
    </w:p>
    <w:p w:rsidR="0093359B" w:rsidRDefault="00F869B8">
      <w:pPr>
        <w:numPr>
          <w:ilvl w:val="0"/>
          <w:numId w:val="7"/>
        </w:numPr>
        <w:spacing w:after="286"/>
        <w:ind w:hanging="299"/>
      </w:pPr>
      <w:r>
        <w:t xml:space="preserve">Auf Antrag des ehrenamtlichen Richters ist die Entscheidung nach Absatz 3 von dem Senat des Oberverwaltungsgerichts aufzuheben, wenn Anklage nach § 21 Nr. 2 erhoben war und der Angeschuldigte rechtskräftig außer Verfolgung gesetzt oder freigesprochen worden ist. </w:t>
      </w:r>
    </w:p>
    <w:p w:rsidR="0093359B" w:rsidRDefault="00F869B8">
      <w:pPr>
        <w:spacing w:after="296" w:line="259" w:lineRule="auto"/>
        <w:ind w:right="48"/>
        <w:jc w:val="center"/>
      </w:pPr>
      <w:r>
        <w:rPr>
          <w:rFonts w:ascii="Calibri" w:eastAsia="Calibri" w:hAnsi="Calibri" w:cs="Calibri"/>
          <w:b/>
        </w:rPr>
        <w:t xml:space="preserve">§ 25  </w:t>
      </w:r>
    </w:p>
    <w:p w:rsidR="0093359B" w:rsidRDefault="00F869B8">
      <w:pPr>
        <w:spacing w:after="291"/>
        <w:ind w:left="-5"/>
      </w:pPr>
      <w:r>
        <w:t xml:space="preserve">Die ehrenamtlichen Richter werden auf fünf Jahre gewählt. </w:t>
      </w:r>
    </w:p>
    <w:p w:rsidR="0093359B" w:rsidRDefault="00F869B8">
      <w:pPr>
        <w:pStyle w:val="berschrift3"/>
      </w:pPr>
      <w:r>
        <w:t xml:space="preserve">§ 26  </w:t>
      </w:r>
    </w:p>
    <w:p w:rsidR="0093359B" w:rsidRDefault="00F869B8">
      <w:pPr>
        <w:numPr>
          <w:ilvl w:val="0"/>
          <w:numId w:val="8"/>
        </w:numPr>
        <w:ind w:hanging="299"/>
      </w:pPr>
      <w:r>
        <w:t xml:space="preserve">Bei jedem Verwaltungsgericht wird ein </w:t>
      </w:r>
      <w:proofErr w:type="spellStart"/>
      <w:r>
        <w:t>Ausschuß</w:t>
      </w:r>
      <w:proofErr w:type="spellEnd"/>
      <w:r>
        <w:t xml:space="preserve"> zur Wahl der ehrenamtlichen Richter bestellt. </w:t>
      </w:r>
    </w:p>
    <w:p w:rsidR="0093359B" w:rsidRDefault="00F869B8">
      <w:pPr>
        <w:numPr>
          <w:ilvl w:val="0"/>
          <w:numId w:val="8"/>
        </w:numPr>
        <w:ind w:hanging="299"/>
      </w:pPr>
      <w:r>
        <w:t xml:space="preserve">Der </w:t>
      </w:r>
      <w:proofErr w:type="spellStart"/>
      <w:r>
        <w:t>Ausschuß</w:t>
      </w:r>
      <w:proofErr w:type="spellEnd"/>
      <w:r>
        <w:t xml:space="preserve"> besteht aus dem Präsidenten des Verwaltungsgerichts als Vorsitzendem, einem von der Landesregierung bestimmten Verwaltungsbeamten und sieben Vertrauensleuten als </w:t>
      </w:r>
    </w:p>
    <w:p w:rsidR="0093359B" w:rsidRDefault="00F869B8">
      <w:pPr>
        <w:ind w:left="-5"/>
      </w:pPr>
      <w:r>
        <w:t xml:space="preserve">Beisitzern. Die Vertrauensleute, ferner sieben Vertreter werden aus den Einwohnern des </w:t>
      </w:r>
    </w:p>
    <w:p w:rsidR="0093359B" w:rsidRDefault="00F869B8">
      <w:pPr>
        <w:ind w:left="-5"/>
      </w:pPr>
      <w:r>
        <w:t xml:space="preserve">Verwaltungsgerichtsbezirks vom Landtag oder von einem durch ihn bestimmten </w:t>
      </w:r>
      <w:proofErr w:type="spellStart"/>
      <w:r>
        <w:t>Landtagsausschuß</w:t>
      </w:r>
      <w:proofErr w:type="spellEnd"/>
      <w:r>
        <w:t xml:space="preserve"> oder nach Maßgabe eines Landesgesetzes gewählt. Sie müssen die Voraussetzungen zur Berufung als ehrenamtliche Richter erfüllen. Die Landesregierungen werden ermächtigt, durch </w:t>
      </w:r>
    </w:p>
    <w:p w:rsidR="0093359B" w:rsidRDefault="00F869B8">
      <w:pPr>
        <w:ind w:left="-5"/>
      </w:pPr>
      <w:r>
        <w:t xml:space="preserve">Rechtsverordnung die Zuständigkeit für die Bestimmung des Verwaltungsbeamten abweichend von </w:t>
      </w:r>
    </w:p>
    <w:p w:rsidR="0093359B" w:rsidRDefault="00F869B8">
      <w:pPr>
        <w:spacing w:after="205"/>
        <w:ind w:left="-5"/>
      </w:pPr>
      <w:r>
        <w:t xml:space="preserve">Satz 1 zu regeln. Sie können diese Ermächtigung auf oberste Landesbehörden übertragen. In den Fällen des § 3 Abs. 2 richtet sich die Zuständigkeit für die Bestellung des Verwaltungsbeamten sowie des Landes für die Wahl der Vertrauensleute nach dem Sitz des Gerichts. Die Landesgesetzgebung kann in diesen Fällen vorsehen, dass jede beteiligte Landesregierung einen Verwaltungsbeamten in den Ausschuss entsendet und dass jedes beteiligte Land mindestens zwei Vertrauensleute bestellt. </w:t>
      </w:r>
    </w:p>
    <w:p w:rsidR="0093359B" w:rsidRDefault="00F869B8">
      <w:pPr>
        <w:numPr>
          <w:ilvl w:val="0"/>
          <w:numId w:val="8"/>
        </w:numPr>
        <w:spacing w:after="286"/>
        <w:ind w:hanging="299"/>
      </w:pPr>
      <w:r>
        <w:t xml:space="preserve">Der </w:t>
      </w:r>
      <w:proofErr w:type="spellStart"/>
      <w:r>
        <w:t>Ausschuß</w:t>
      </w:r>
      <w:proofErr w:type="spellEnd"/>
      <w:r>
        <w:t xml:space="preserve"> ist </w:t>
      </w:r>
      <w:proofErr w:type="spellStart"/>
      <w:r>
        <w:t>beschlußfähig</w:t>
      </w:r>
      <w:proofErr w:type="spellEnd"/>
      <w:r>
        <w:t xml:space="preserve">, wenn wenigstens der Vorsitzende, ein Verwaltungsbeamter und drei Vertrauensleute anwesend sind. </w:t>
      </w:r>
    </w:p>
    <w:p w:rsidR="00B011ED" w:rsidRDefault="00B011ED" w:rsidP="00F869B8">
      <w:pPr>
        <w:spacing w:after="286"/>
        <w:ind w:left="0" w:firstLine="0"/>
        <w:jc w:val="center"/>
        <w:rPr>
          <w:b/>
        </w:rPr>
      </w:pPr>
    </w:p>
    <w:p w:rsidR="00B011ED" w:rsidRDefault="00B011ED" w:rsidP="00F869B8">
      <w:pPr>
        <w:spacing w:after="286"/>
        <w:ind w:left="0" w:firstLine="0"/>
        <w:jc w:val="center"/>
        <w:rPr>
          <w:b/>
        </w:rPr>
      </w:pPr>
    </w:p>
    <w:p w:rsidR="0093359B" w:rsidRDefault="00F869B8">
      <w:pPr>
        <w:pStyle w:val="berschrift3"/>
      </w:pPr>
      <w:r>
        <w:lastRenderedPageBreak/>
        <w:t xml:space="preserve">§ 27  </w:t>
      </w:r>
    </w:p>
    <w:p w:rsidR="0093359B" w:rsidRDefault="00F869B8">
      <w:pPr>
        <w:spacing w:after="291"/>
        <w:ind w:left="-5"/>
      </w:pPr>
      <w:r>
        <w:t xml:space="preserve">Die für jedes Verwaltungsgericht erforderliche Zahl von ehrenamtlichen Richtern wird durch den Präsidenten so bestimmt, </w:t>
      </w:r>
      <w:proofErr w:type="spellStart"/>
      <w:r>
        <w:t>daß</w:t>
      </w:r>
      <w:proofErr w:type="spellEnd"/>
      <w:r>
        <w:t xml:space="preserve"> voraussichtlich </w:t>
      </w:r>
      <w:proofErr w:type="gramStart"/>
      <w:r>
        <w:t>jeder zu höchstens zwölf ordentlichen Sitzungstagen</w:t>
      </w:r>
      <w:proofErr w:type="gramEnd"/>
      <w:r>
        <w:t xml:space="preserve"> im Jahr herangezogen wird. </w:t>
      </w:r>
    </w:p>
    <w:p w:rsidR="0093359B" w:rsidRDefault="00F869B8">
      <w:pPr>
        <w:pStyle w:val="berschrift3"/>
      </w:pPr>
      <w:r>
        <w:t xml:space="preserve">§ 28  </w:t>
      </w:r>
    </w:p>
    <w:p w:rsidR="0093359B" w:rsidRDefault="00F869B8">
      <w:pPr>
        <w:ind w:left="-5"/>
      </w:pPr>
      <w:r>
        <w:t xml:space="preserve">Die Kreise und kreisfreien Städte stellen in jedem fünften Jahr eine Vorschlagsliste für ehrenamtliche </w:t>
      </w:r>
    </w:p>
    <w:p w:rsidR="0093359B" w:rsidRDefault="00F869B8">
      <w:pPr>
        <w:ind w:left="-5"/>
      </w:pPr>
      <w:r>
        <w:t xml:space="preserve">Richter auf. Der </w:t>
      </w:r>
      <w:proofErr w:type="spellStart"/>
      <w:r>
        <w:t>Ausschuß</w:t>
      </w:r>
      <w:proofErr w:type="spellEnd"/>
      <w:r>
        <w:t xml:space="preserve"> bestimmt für jeden Kreis und für jede kreisfreie Stadt die Zahl der Personen, die in die Vorschlagsliste aufzunehmen sind. Hierbei ist die doppelte Anzahl der nach § 27 erforderlichen ehrenamtlichen Richter zugrunde zu legen. Für die Aufnahme in die Liste ist die Zustimmung von zwei Dritteln der anwesenden Mitglieder der Vertretungskörperschaft des Kreises oder der kreisfreien Stadt, mindestens jedoch die Hälfte der gesetzlichen Mitgliederzahl erforderlich. Die jeweiligen Regelungen zur Beschlussfassung der Vertretungskörperschaft bleiben unberührt. Die </w:t>
      </w:r>
    </w:p>
    <w:p w:rsidR="0093359B" w:rsidRDefault="00F869B8">
      <w:pPr>
        <w:spacing w:after="288"/>
        <w:ind w:left="-5"/>
      </w:pPr>
      <w:r>
        <w:t xml:space="preserve">Vorschlagslisten sollen außer dem Namen auch den Geburtsort, den Geburtstag und Beruf des Vorgeschlagenen enthalten; sie sind dem Präsidenten des zuständigen Verwaltungsgerichts zu übermitteln. </w:t>
      </w:r>
    </w:p>
    <w:p w:rsidR="0093359B" w:rsidRDefault="00F869B8">
      <w:pPr>
        <w:pStyle w:val="berschrift3"/>
      </w:pPr>
      <w:r>
        <w:t xml:space="preserve">§ 29  </w:t>
      </w:r>
    </w:p>
    <w:p w:rsidR="0093359B" w:rsidRDefault="00F869B8">
      <w:pPr>
        <w:numPr>
          <w:ilvl w:val="0"/>
          <w:numId w:val="9"/>
        </w:numPr>
        <w:ind w:hanging="299"/>
      </w:pPr>
      <w:r>
        <w:t xml:space="preserve">Der </w:t>
      </w:r>
      <w:proofErr w:type="spellStart"/>
      <w:r>
        <w:t>Ausschuß</w:t>
      </w:r>
      <w:proofErr w:type="spellEnd"/>
      <w:r>
        <w:t xml:space="preserve"> wählt aus den Vorschlagslisten mit einer Mehrheit von mindestens zwei Dritteln der Stimmen die erforderliche Zahl von ehrenamtlichen Richtern. </w:t>
      </w:r>
    </w:p>
    <w:p w:rsidR="0093359B" w:rsidRDefault="00F869B8">
      <w:pPr>
        <w:numPr>
          <w:ilvl w:val="0"/>
          <w:numId w:val="9"/>
        </w:numPr>
        <w:spacing w:after="288"/>
        <w:ind w:hanging="299"/>
      </w:pPr>
      <w:r>
        <w:t xml:space="preserve">Bis zur Neuwahl bleiben die bisherigen ehrenamtlichen Richter im Amt. </w:t>
      </w:r>
    </w:p>
    <w:p w:rsidR="0093359B" w:rsidRDefault="00F869B8">
      <w:pPr>
        <w:pStyle w:val="berschrift3"/>
      </w:pPr>
      <w:r>
        <w:t xml:space="preserve">§ 30  </w:t>
      </w:r>
    </w:p>
    <w:p w:rsidR="0093359B" w:rsidRDefault="00F869B8">
      <w:pPr>
        <w:numPr>
          <w:ilvl w:val="0"/>
          <w:numId w:val="10"/>
        </w:numPr>
      </w:pPr>
      <w:r>
        <w:t xml:space="preserve">Das Präsidium des Verwaltungsgerichts bestimmt vor Beginn des Geschäftsjahres die Reihenfolge, in der die ehrenamtlichen Richter zu den Sitzungen heranzuziehen sind. </w:t>
      </w:r>
    </w:p>
    <w:p w:rsidR="0093359B" w:rsidRDefault="00F869B8">
      <w:pPr>
        <w:numPr>
          <w:ilvl w:val="0"/>
          <w:numId w:val="10"/>
        </w:numPr>
        <w:spacing w:after="286"/>
      </w:pPr>
      <w:r>
        <w:t xml:space="preserve">Für die Heranziehung von Vertretern bei unvorhergesehener Verhinderung kann eine Hilfsliste aus ehrenamtlichen Richtern aufgestellt werden, die am Gerichtssitz oder in seiner Nähe wohnen. </w:t>
      </w:r>
    </w:p>
    <w:p w:rsidR="0093359B" w:rsidRDefault="00F869B8">
      <w:pPr>
        <w:pStyle w:val="berschrift3"/>
      </w:pPr>
      <w:r>
        <w:t xml:space="preserve">§ 32  </w:t>
      </w:r>
    </w:p>
    <w:p w:rsidR="0093359B" w:rsidRDefault="00F869B8">
      <w:pPr>
        <w:spacing w:after="288"/>
        <w:ind w:left="-5"/>
      </w:pPr>
      <w:r>
        <w:t>Der ehrenamtliche Richter und der Vertrauensmann (§ 26) erhalten eine Entschädigung nach dem Justizvergütungs- und -</w:t>
      </w:r>
      <w:proofErr w:type="spellStart"/>
      <w:r>
        <w:t>entschädigungsgesetz</w:t>
      </w:r>
      <w:proofErr w:type="spellEnd"/>
      <w:r>
        <w:t xml:space="preserve">. </w:t>
      </w:r>
    </w:p>
    <w:p w:rsidR="0093359B" w:rsidRDefault="00F869B8">
      <w:pPr>
        <w:pStyle w:val="berschrift3"/>
      </w:pPr>
      <w:r>
        <w:t xml:space="preserve">§ 33  </w:t>
      </w:r>
    </w:p>
    <w:p w:rsidR="0093359B" w:rsidRDefault="00F869B8">
      <w:pPr>
        <w:numPr>
          <w:ilvl w:val="0"/>
          <w:numId w:val="11"/>
        </w:numPr>
      </w:pPr>
      <w:r>
        <w:t xml:space="preserve">Gegen einen ehrenamtlichen Richter, der sich ohne genügende Entschuldigung zu einer Sitzung nicht rechtzeitig einfindet oder der sich seinen Pflichten auf andere Weise entzieht, kann ein </w:t>
      </w:r>
    </w:p>
    <w:p w:rsidR="0093359B" w:rsidRDefault="00F869B8">
      <w:pPr>
        <w:ind w:left="-5"/>
      </w:pPr>
      <w:r>
        <w:t xml:space="preserve">Ordnungsgeld festgesetzt werden. Zugleich können ihm die durch sein Verhalten verursachten Kosten auferlegt werden. </w:t>
      </w:r>
    </w:p>
    <w:p w:rsidR="0093359B" w:rsidRDefault="00F869B8">
      <w:pPr>
        <w:numPr>
          <w:ilvl w:val="0"/>
          <w:numId w:val="11"/>
        </w:numPr>
        <w:spacing w:after="289"/>
      </w:pPr>
      <w:r>
        <w:t xml:space="preserve">Die Entscheidung trifft der Vorsitzende. Bei nachträglicher Entschuldigung kann er sie ganz oder zum Teil aufheben. </w:t>
      </w:r>
    </w:p>
    <w:p w:rsidR="0093359B" w:rsidRDefault="00F869B8">
      <w:pPr>
        <w:pStyle w:val="berschrift3"/>
      </w:pPr>
      <w:r>
        <w:t xml:space="preserve">§ 34  </w:t>
      </w:r>
    </w:p>
    <w:p w:rsidR="0093359B" w:rsidRDefault="00F869B8">
      <w:pPr>
        <w:ind w:left="-5"/>
        <w:rPr>
          <w:rFonts w:ascii="Calibri" w:eastAsia="Calibri" w:hAnsi="Calibri" w:cs="Calibri"/>
        </w:rPr>
      </w:pPr>
      <w:r>
        <w:t xml:space="preserve">§§ 19 bis 33 gelten für die ehrenamtlichen Richter bei dem Oberverwaltungsgericht entsprechend, wenn die Landesgesetzgebung bestimmt hat, </w:t>
      </w:r>
      <w:proofErr w:type="spellStart"/>
      <w:r>
        <w:t>daß</w:t>
      </w:r>
      <w:proofErr w:type="spellEnd"/>
      <w:r>
        <w:t xml:space="preserve"> bei diesem Gericht ehrenamtliche Richter mitwirken.</w:t>
      </w:r>
      <w:r>
        <w:rPr>
          <w:rFonts w:ascii="Calibri" w:eastAsia="Calibri" w:hAnsi="Calibri" w:cs="Calibri"/>
        </w:rPr>
        <w:t xml:space="preserve"> </w:t>
      </w:r>
    </w:p>
    <w:p w:rsidR="005E1682" w:rsidRDefault="005E1682">
      <w:pPr>
        <w:ind w:left="-5"/>
        <w:rPr>
          <w:rFonts w:ascii="Calibri" w:eastAsia="Calibri" w:hAnsi="Calibri" w:cs="Calibri"/>
        </w:rPr>
      </w:pPr>
    </w:p>
    <w:p w:rsidR="0093359B" w:rsidRDefault="0093359B">
      <w:pPr>
        <w:spacing w:after="0" w:line="259" w:lineRule="auto"/>
        <w:ind w:left="0" w:firstLine="0"/>
      </w:pPr>
    </w:p>
    <w:p w:rsidR="0093359B" w:rsidRDefault="00F869B8">
      <w:pPr>
        <w:spacing w:after="285" w:line="259" w:lineRule="auto"/>
        <w:ind w:left="0" w:firstLine="0"/>
        <w:jc w:val="center"/>
      </w:pPr>
      <w:r>
        <w:rPr>
          <w:b/>
          <w:sz w:val="22"/>
        </w:rPr>
        <w:t xml:space="preserve">Deutsches Richtergesetz (DRiG) - Sechster Abschnitt - Ehrenamtliche Richter </w:t>
      </w:r>
    </w:p>
    <w:p w:rsidR="0093359B" w:rsidRDefault="00F869B8">
      <w:pPr>
        <w:pStyle w:val="berschrift3"/>
        <w:ind w:right="10"/>
      </w:pPr>
      <w:r>
        <w:t xml:space="preserve">§ 44 Bestellung und Abberufung des ehrenamtlichen Richters </w:t>
      </w:r>
    </w:p>
    <w:p w:rsidR="0093359B" w:rsidRDefault="00F869B8">
      <w:pPr>
        <w:numPr>
          <w:ilvl w:val="0"/>
          <w:numId w:val="12"/>
        </w:numPr>
        <w:ind w:hanging="299"/>
      </w:pPr>
      <w:r>
        <w:t xml:space="preserve">Ehrenamtliche Richter dürfen bei einem Gericht nur auf Grund eines Gesetzes und unter den gesetzlich bestimmten Voraussetzungen tätig werden. </w:t>
      </w:r>
    </w:p>
    <w:p w:rsidR="0093359B" w:rsidRDefault="00F869B8">
      <w:pPr>
        <w:spacing w:after="204"/>
        <w:ind w:left="-5"/>
      </w:pPr>
      <w:r>
        <w:t xml:space="preserve">(1a) In den Verfahren zur Wahl, Ernennung oder Berufung ehrenamtlicher Richter sollen Frauen und Männer angemessen berücksichtigt werden. </w:t>
      </w:r>
    </w:p>
    <w:p w:rsidR="0093359B" w:rsidRDefault="00F869B8">
      <w:pPr>
        <w:numPr>
          <w:ilvl w:val="0"/>
          <w:numId w:val="12"/>
        </w:numPr>
        <w:ind w:hanging="299"/>
      </w:pPr>
      <w:r>
        <w:t xml:space="preserve">Ein ehrenamtlicher Richter kann vor Ablauf seiner Amtszeit nur unter den gesetzlich bestimmten </w:t>
      </w:r>
    </w:p>
    <w:p w:rsidR="0093359B" w:rsidRDefault="00F869B8">
      <w:pPr>
        <w:spacing w:after="291"/>
        <w:ind w:left="-5"/>
      </w:pPr>
      <w:r>
        <w:t xml:space="preserve">Voraussetzungen und gegen seinen Willen nur durch Entscheidung eines Gerichts abberufen werden. </w:t>
      </w:r>
    </w:p>
    <w:p w:rsidR="0093359B" w:rsidRDefault="00F869B8">
      <w:pPr>
        <w:pStyle w:val="berschrift3"/>
        <w:ind w:right="9"/>
      </w:pPr>
      <w:r>
        <w:t xml:space="preserve">§ 44a Hindernisse für Berufungen als ehrenamtliche Richter </w:t>
      </w:r>
    </w:p>
    <w:p w:rsidR="0093359B" w:rsidRDefault="00F869B8">
      <w:pPr>
        <w:ind w:left="-5"/>
      </w:pPr>
      <w:r>
        <w:t xml:space="preserve">(1) Zu dem Amt eines ehrenamtlichen Richters soll nicht berufen werden, wer  </w:t>
      </w:r>
    </w:p>
    <w:p w:rsidR="0093359B" w:rsidRDefault="00F869B8">
      <w:pPr>
        <w:numPr>
          <w:ilvl w:val="0"/>
          <w:numId w:val="13"/>
        </w:numPr>
        <w:ind w:hanging="221"/>
      </w:pPr>
      <w:r>
        <w:t xml:space="preserve">gegen die Grundsätze der Menschlichkeit oder der Rechtsstaatlichkeit verstoßen hat oder </w:t>
      </w:r>
    </w:p>
    <w:p w:rsidR="0093359B" w:rsidRDefault="00F869B8">
      <w:pPr>
        <w:numPr>
          <w:ilvl w:val="0"/>
          <w:numId w:val="13"/>
        </w:numPr>
        <w:spacing w:after="207"/>
        <w:ind w:hanging="221"/>
      </w:pPr>
      <w:r>
        <w:t>wegen einer Tätigkeit als hauptamtlicher oder inoffizieller Mitarbeiter des Staatssicherheitsdienstes der ehemaligen Deutschen Demokratischen Republik im Sinne des § 6 Abs. 4 des Stasi-</w:t>
      </w:r>
      <w:proofErr w:type="spellStart"/>
      <w:r>
        <w:t>UnterlagenGesetzes</w:t>
      </w:r>
      <w:proofErr w:type="spellEnd"/>
      <w:r>
        <w:t xml:space="preserve"> vom 20. Dezember 1991 (BGBl. I S. 2272) oder als diesen Mitarbeitern nach § 6 Abs. 5 des Stasi-Unterlagen-Gesetzes gleichgestellte Person für das Amt eines ehrenamtlichen Richters nicht geeignet ist. </w:t>
      </w:r>
    </w:p>
    <w:p w:rsidR="0093359B" w:rsidRDefault="00F869B8">
      <w:pPr>
        <w:spacing w:after="289"/>
        <w:ind w:left="-5"/>
      </w:pPr>
      <w:r>
        <w:t xml:space="preserve">(2) Die für die Berufung zuständige Stelle kann zu diesem Zweck von dem Vorgeschlagenen eine schriftliche Erklärung verlangen, dass bei ihm die Voraussetzungen des Absatzes 1 nicht vorliegen. </w:t>
      </w:r>
    </w:p>
    <w:p w:rsidR="0093359B" w:rsidRDefault="00F869B8">
      <w:pPr>
        <w:pStyle w:val="berschrift3"/>
        <w:ind w:right="5"/>
      </w:pPr>
      <w:r>
        <w:t xml:space="preserve">§ 44b Abberufung von ehrenamtlichen Richtern </w:t>
      </w:r>
    </w:p>
    <w:p w:rsidR="0093359B" w:rsidRDefault="00F869B8">
      <w:pPr>
        <w:numPr>
          <w:ilvl w:val="0"/>
          <w:numId w:val="14"/>
        </w:numPr>
      </w:pPr>
      <w:r>
        <w:t xml:space="preserve">Ein ehrenamtlicher Richter ist von seinem Amt abzuberufen, wenn nachträglich in § 44a Abs. 1 bezeichnete Umstände bekannt werden. </w:t>
      </w:r>
    </w:p>
    <w:p w:rsidR="0093359B" w:rsidRDefault="00F869B8">
      <w:pPr>
        <w:numPr>
          <w:ilvl w:val="0"/>
          <w:numId w:val="14"/>
        </w:numPr>
        <w:spacing w:after="207"/>
      </w:pPr>
      <w:r>
        <w:t xml:space="preserve">Das Verfahren richtet sich nach den Vorschriften, die im Übrigen für die Abberufung eines ehrenamtlichen Richters der jeweiligen Art gelten, soweit in den Absätzen 3 und 4 nichts </w:t>
      </w:r>
      <w:proofErr w:type="gramStart"/>
      <w:r>
        <w:t>anderes</w:t>
      </w:r>
      <w:proofErr w:type="gramEnd"/>
      <w:r>
        <w:t xml:space="preserve"> bestimmt ist. </w:t>
      </w:r>
    </w:p>
    <w:p w:rsidR="0093359B" w:rsidRDefault="00F869B8">
      <w:pPr>
        <w:numPr>
          <w:ilvl w:val="0"/>
          <w:numId w:val="14"/>
        </w:numPr>
        <w:spacing w:after="207"/>
      </w:pPr>
      <w:r>
        <w:t xml:space="preserve">Wenn ein Antrag auf Abberufung gestellt oder ein Abberufungsverfahren von Amts wegen eingeleitet worden ist und der dringende Verdacht besteht, dass die Voraussetzungen des § 44a Abs. 1 vorliegen, kann das für die Abberufung zuständige Gericht anordnen, dass der ehrenamtliche Richter bis zur Entscheidung über die Abberufung das Amt nicht ausüben darf. Die Anordnung ist unanfechtbar. </w:t>
      </w:r>
    </w:p>
    <w:p w:rsidR="0093359B" w:rsidRDefault="00F869B8">
      <w:pPr>
        <w:numPr>
          <w:ilvl w:val="0"/>
          <w:numId w:val="14"/>
        </w:numPr>
        <w:spacing w:after="289"/>
      </w:pPr>
      <w:r>
        <w:t xml:space="preserve">Die Entscheidung über die Abberufung ist unanfechtbar. Der abberufene ehrenamtliche Richter kann binnen eines Jahres nach Wirksamwerden der Entscheidung die Feststellung beantragen, dass die Voraussetzungen des § 44a Abs. 1 nicht vorgelegen haben. Über den Antrag entscheidet das nächsthöhere Gericht durch unanfechtbaren Beschluss. Ist das nächsthöhere Gericht ein oberstes Bundesgericht oder ist die Entscheidung von einem obersten Bundesgericht getroffen worden, entscheidet ein anderer Spruchkörper des Gerichts, das die Entscheidung getroffen hat. Ergibt sich nach den Sätzen 3 und 4 kein zuständiges Gericht, so entscheidet das Oberlandesgericht, in dessen Bezirk die Entscheidung getroffen worden ist. </w:t>
      </w:r>
    </w:p>
    <w:p w:rsidR="0093359B" w:rsidRDefault="00F869B8">
      <w:pPr>
        <w:pStyle w:val="berschrift3"/>
        <w:ind w:right="8"/>
      </w:pPr>
      <w:r>
        <w:lastRenderedPageBreak/>
        <w:t xml:space="preserve">§ 45 Unabhängigkeit und besondere Pflichten des ehrenamtlichen Richters </w:t>
      </w:r>
    </w:p>
    <w:p w:rsidR="0093359B" w:rsidRDefault="00F869B8">
      <w:pPr>
        <w:numPr>
          <w:ilvl w:val="0"/>
          <w:numId w:val="15"/>
        </w:numPr>
        <w:ind w:hanging="299"/>
      </w:pPr>
      <w:r>
        <w:t xml:space="preserve">Der ehrenamtliche Richter ist in gleichem Maße wie ein Berufsrichter unabhängig. Er hat das Beratungsgeheimnis zu wahren (§ 43). </w:t>
      </w:r>
    </w:p>
    <w:p w:rsidR="0093359B" w:rsidRDefault="00F869B8">
      <w:pPr>
        <w:ind w:left="-5"/>
      </w:pPr>
      <w:r>
        <w:t xml:space="preserve">(1a) Niemand darf in der Übernahme oder Ausübung des Amtes als ehrenamtlicher Richter beschränkt oder wegen der Übernahme der Ausübung des Amtes benachteiligt werden. </w:t>
      </w:r>
    </w:p>
    <w:p w:rsidR="0093359B" w:rsidRDefault="00F869B8">
      <w:pPr>
        <w:ind w:left="-5"/>
      </w:pPr>
      <w:r>
        <w:t xml:space="preserve">Ehrenamtliche Richter sind für die Zeit ihrer Amtstätigkeit von ihrem Arbeitgeber von der </w:t>
      </w:r>
    </w:p>
    <w:p w:rsidR="0093359B" w:rsidRDefault="00F869B8">
      <w:pPr>
        <w:spacing w:after="207"/>
        <w:ind w:left="-5"/>
      </w:pPr>
      <w:r>
        <w:t xml:space="preserve">Arbeitsleistung freizustellen. Die Kündigung eines Arbeitsverhältnisses wegen der Übernahme oder der Ausübung des Amtes ist unzulässig. Weitergehende landesrechtliche Regelungen bleiben unberührt. </w:t>
      </w:r>
    </w:p>
    <w:p w:rsidR="0093359B" w:rsidRDefault="00F869B8">
      <w:pPr>
        <w:numPr>
          <w:ilvl w:val="0"/>
          <w:numId w:val="15"/>
        </w:numPr>
        <w:spacing w:after="207"/>
        <w:ind w:hanging="299"/>
      </w:pPr>
      <w:r>
        <w:t xml:space="preserve">Der ehrenamtliche Richter ist vor seiner ersten Dienstleistung in öffentlicher Sitzung des Gerichts durch den Vorsitzenden zu vereidigen. Die Vereidigung gilt für die Dauer des Amtes, bei erneuter Bestellung auch für die sich unmittelbar anschließende Amtszeit. Der Schwörende soll bei der Eidesleistung die rechte Hand erheben. </w:t>
      </w:r>
    </w:p>
    <w:p w:rsidR="0093359B" w:rsidRDefault="00F869B8">
      <w:pPr>
        <w:numPr>
          <w:ilvl w:val="0"/>
          <w:numId w:val="15"/>
        </w:numPr>
        <w:ind w:hanging="299"/>
      </w:pPr>
      <w:r>
        <w:t xml:space="preserve">Der ehrenamtliche Richter leistet den Eid, indem er die Worte spricht:  </w:t>
      </w:r>
    </w:p>
    <w:p w:rsidR="0093359B" w:rsidRDefault="00F869B8">
      <w:pPr>
        <w:ind w:left="-5"/>
      </w:pPr>
      <w:r>
        <w:t xml:space="preserve">"Ich schwöre, die Pflichten eines ehrenamtlichen Richters getreu dem Grundgesetz für die </w:t>
      </w:r>
    </w:p>
    <w:p w:rsidR="0093359B" w:rsidRDefault="00F869B8">
      <w:pPr>
        <w:ind w:left="-5"/>
      </w:pPr>
      <w:r>
        <w:t xml:space="preserve">Bundesrepublik Deutschland und getreu dem Gesetz zu erfüllen, nach bestem Wissen und Gewissen ohne Ansehen der Person zu urteilen und nur der Wahrheit und Gerechtigkeit zu dienen, so wahr mir Gott helfe."  </w:t>
      </w:r>
    </w:p>
    <w:p w:rsidR="0093359B" w:rsidRDefault="00F869B8">
      <w:pPr>
        <w:spacing w:after="204"/>
        <w:ind w:left="-5"/>
      </w:pPr>
      <w:r>
        <w:t xml:space="preserve">Der Eid kann ohne die Worte "so wahr mir Gott helfe" geleistet werden. Hierüber ist der Schwörende vor der Eidesleistung durch den Vorsitzenden zu belehren. </w:t>
      </w:r>
    </w:p>
    <w:p w:rsidR="0093359B" w:rsidRDefault="00F869B8">
      <w:pPr>
        <w:numPr>
          <w:ilvl w:val="0"/>
          <w:numId w:val="15"/>
        </w:numPr>
        <w:ind w:hanging="299"/>
      </w:pPr>
      <w:r>
        <w:t xml:space="preserve">Gibt ein ehrenamtlicher Richter an, </w:t>
      </w:r>
      <w:proofErr w:type="spellStart"/>
      <w:r>
        <w:t>daß</w:t>
      </w:r>
      <w:proofErr w:type="spellEnd"/>
      <w:r>
        <w:t xml:space="preserve"> er aus Glaubens- oder Gewissensgründen keinen Eid leisten wolle, so spricht er die Worte:  </w:t>
      </w:r>
    </w:p>
    <w:p w:rsidR="0093359B" w:rsidRDefault="00F869B8">
      <w:pPr>
        <w:ind w:left="-5"/>
      </w:pPr>
      <w:r>
        <w:t xml:space="preserve">"Ich gelobe, die Pflichten eines ehrenamtlichen Richters getreu dem Grundgesetz für die </w:t>
      </w:r>
    </w:p>
    <w:p w:rsidR="0093359B" w:rsidRDefault="00F869B8">
      <w:pPr>
        <w:ind w:left="-5"/>
      </w:pPr>
      <w:r>
        <w:t xml:space="preserve">Bundesrepublik Deutschland und getreu dem Gesetz zu erfüllen, nach bestem Wissen und Gewissen </w:t>
      </w:r>
    </w:p>
    <w:p w:rsidR="0093359B" w:rsidRDefault="00F869B8">
      <w:pPr>
        <w:spacing w:after="207"/>
        <w:ind w:left="-5" w:right="697"/>
      </w:pPr>
      <w:r>
        <w:t xml:space="preserve">ohne Ansehen der Person zu urteilen und nur der Wahrheit und Gerechtigkeit zu dienen."  Das Gelöbnis steht dem Eid gleich. </w:t>
      </w:r>
    </w:p>
    <w:p w:rsidR="0093359B" w:rsidRDefault="00F869B8">
      <w:pPr>
        <w:numPr>
          <w:ilvl w:val="0"/>
          <w:numId w:val="15"/>
        </w:numPr>
        <w:ind w:hanging="299"/>
      </w:pPr>
      <w:r>
        <w:t xml:space="preserve">Gibt ein ehrenamtlicher Richter an, </w:t>
      </w:r>
      <w:proofErr w:type="spellStart"/>
      <w:r>
        <w:t>daß</w:t>
      </w:r>
      <w:proofErr w:type="spellEnd"/>
      <w:r>
        <w:t xml:space="preserve"> er als Mitglied einer Religions- oder </w:t>
      </w:r>
    </w:p>
    <w:p w:rsidR="0093359B" w:rsidRDefault="00F869B8">
      <w:pPr>
        <w:spacing w:after="207"/>
        <w:ind w:left="-5"/>
      </w:pPr>
      <w:r>
        <w:t xml:space="preserve">Bekenntnisgemeinschaft eine Beteuerungsformel dieser Gemeinschaft verwenden wolle, so kann er diese dem Eid oder dem Gelöbnis anfügen. </w:t>
      </w:r>
    </w:p>
    <w:p w:rsidR="0093359B" w:rsidRDefault="00F869B8">
      <w:pPr>
        <w:numPr>
          <w:ilvl w:val="0"/>
          <w:numId w:val="15"/>
        </w:numPr>
        <w:ind w:hanging="299"/>
      </w:pPr>
      <w:r>
        <w:t xml:space="preserve">Die ehrenamtlichen Richter in der Finanzgerichtsbarkeit leisten den Eid </w:t>
      </w:r>
      <w:proofErr w:type="gramStart"/>
      <w:r>
        <w:t>dahin,  die</w:t>
      </w:r>
      <w:proofErr w:type="gramEnd"/>
      <w:r>
        <w:t xml:space="preserve"> Pflichten eines ehrenamtlichen Richters getreu dem Grundgesetz für die Bundesrepublik Deutschland und getreu dem Gesetz zu erfüllen, das Steuergeheimnis zu wahren, nach bestem Wissen und Gewissen ohne Ansehen der Person zu urteilen und nur der Wahrheit und Gerechtigkeit zu dienen.  </w:t>
      </w:r>
    </w:p>
    <w:p w:rsidR="0093359B" w:rsidRDefault="00F869B8">
      <w:pPr>
        <w:spacing w:after="207"/>
        <w:ind w:left="-5"/>
      </w:pPr>
      <w:r>
        <w:t xml:space="preserve">Dies gilt für das Gelöbnis entsprechend. </w:t>
      </w:r>
    </w:p>
    <w:p w:rsidR="0093359B" w:rsidRDefault="00F869B8">
      <w:pPr>
        <w:numPr>
          <w:ilvl w:val="0"/>
          <w:numId w:val="15"/>
        </w:numPr>
        <w:spacing w:after="204"/>
        <w:ind w:hanging="299"/>
      </w:pPr>
      <w:r>
        <w:t xml:space="preserve">Für ehrenamtliche Richter bei den Gerichten der Länder können der Eid und das Gelöbnis eine zusätzliche Verpflichtung auf die Landesverfassung enthalten. </w:t>
      </w:r>
    </w:p>
    <w:p w:rsidR="0093359B" w:rsidRDefault="00F869B8">
      <w:pPr>
        <w:numPr>
          <w:ilvl w:val="0"/>
          <w:numId w:val="15"/>
        </w:numPr>
        <w:spacing w:after="209"/>
        <w:ind w:hanging="299"/>
      </w:pPr>
      <w:r>
        <w:t xml:space="preserve">Über die Verpflichtung des ehrenamtlichen Richters auf sein Amt wird ein Protokoll aufgenommen. </w:t>
      </w:r>
    </w:p>
    <w:p w:rsidR="0093359B" w:rsidRDefault="00F869B8">
      <w:pPr>
        <w:numPr>
          <w:ilvl w:val="0"/>
          <w:numId w:val="15"/>
        </w:numPr>
        <w:spacing w:after="286"/>
        <w:ind w:hanging="299"/>
      </w:pPr>
      <w:r>
        <w:t xml:space="preserve">Im </w:t>
      </w:r>
      <w:proofErr w:type="spellStart"/>
      <w:proofErr w:type="gramStart"/>
      <w:r>
        <w:t>übrigen</w:t>
      </w:r>
      <w:proofErr w:type="spellEnd"/>
      <w:proofErr w:type="gramEnd"/>
      <w:r>
        <w:t xml:space="preserve"> bestimmen sich die Rechte und Pflichten der ehrenamtlichen Richter nach den für die einzelnen Gerichtszweige geltenden Vorschriften. </w:t>
      </w:r>
    </w:p>
    <w:p w:rsidR="0093359B" w:rsidRDefault="00F869B8">
      <w:pPr>
        <w:pStyle w:val="berschrift3"/>
        <w:ind w:right="6"/>
      </w:pPr>
      <w:r>
        <w:t xml:space="preserve">§ 45a Bezeichnungen der ehrenamtlichen Richter </w:t>
      </w:r>
    </w:p>
    <w:p w:rsidR="0093359B" w:rsidRDefault="00F869B8">
      <w:pPr>
        <w:ind w:left="-5"/>
      </w:pPr>
      <w:r>
        <w:t xml:space="preserve">Die ehrenamtlichen Richter in der Strafgerichtsbarkeit führen die Bezeichnung "Schöffe", die ehrenamtlichen Richter bei den Kammern für Handelssachen die Bezeichnung "Handelsrichter" und die anderen ehrenamtlichen Richter die Bezeichnung "ehrenamtlicher Richter". </w:t>
      </w:r>
    </w:p>
    <w:p w:rsidR="0093359B" w:rsidRDefault="00F869B8">
      <w:pPr>
        <w:spacing w:after="0" w:line="259" w:lineRule="auto"/>
        <w:ind w:left="0" w:firstLine="0"/>
      </w:pPr>
      <w:r>
        <w:rPr>
          <w:rFonts w:ascii="Calibri" w:eastAsia="Calibri" w:hAnsi="Calibri" w:cs="Calibri"/>
        </w:rPr>
        <w:t xml:space="preserve"> </w:t>
      </w:r>
    </w:p>
    <w:sectPr w:rsidR="0093359B">
      <w:footerReference w:type="even" r:id="rId7"/>
      <w:footerReference w:type="default" r:id="rId8"/>
      <w:footerReference w:type="first" r:id="rId9"/>
      <w:pgSz w:w="11906" w:h="16838"/>
      <w:pgMar w:top="1418" w:right="1416" w:bottom="1216" w:left="1416"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682" w:rsidRDefault="005E1682">
      <w:pPr>
        <w:spacing w:after="0" w:line="240" w:lineRule="auto"/>
      </w:pPr>
      <w:r>
        <w:separator/>
      </w:r>
    </w:p>
  </w:endnote>
  <w:endnote w:type="continuationSeparator" w:id="0">
    <w:p w:rsidR="005E1682" w:rsidRDefault="005E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682" w:rsidRDefault="005E1682">
    <w:pPr>
      <w:spacing w:after="0" w:line="236" w:lineRule="auto"/>
      <w:ind w:left="0" w:right="3" w:firstLine="0"/>
      <w:jc w:val="right"/>
    </w:pPr>
    <w:r>
      <w:rPr>
        <w:rFonts w:ascii="Calibri" w:eastAsia="Calibri" w:hAnsi="Calibri" w:cs="Calibri"/>
        <w:sz w:val="16"/>
      </w:rPr>
      <w:t xml:space="preserve">Seite </w:t>
    </w: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r>
      <w:rPr>
        <w:rFonts w:ascii="Calibri" w:eastAsia="Calibri" w:hAnsi="Calibri" w:cs="Calibri"/>
        <w:sz w:val="16"/>
      </w:rPr>
      <w:t xml:space="preserve"> von </w:t>
    </w:r>
    <w:r w:rsidR="00D60914">
      <w:fldChar w:fldCharType="begin"/>
    </w:r>
    <w:r w:rsidR="00D60914">
      <w:instrText xml:space="preserve"> NUMPAGES   \* MERGEFORMAT </w:instrText>
    </w:r>
    <w:r w:rsidR="00D60914">
      <w:fldChar w:fldCharType="separate"/>
    </w:r>
    <w:r w:rsidR="00D60914" w:rsidRPr="00D60914">
      <w:rPr>
        <w:rFonts w:ascii="Calibri" w:eastAsia="Calibri" w:hAnsi="Calibri" w:cs="Calibri"/>
        <w:b/>
        <w:noProof/>
        <w:sz w:val="16"/>
      </w:rPr>
      <w:t>7</w:t>
    </w:r>
    <w:r w:rsidR="00D60914">
      <w:rPr>
        <w:rFonts w:ascii="Calibri" w:eastAsia="Calibri" w:hAnsi="Calibri" w:cs="Calibri"/>
        <w:b/>
        <w:noProof/>
        <w:sz w:val="16"/>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682" w:rsidRDefault="005E1682" w:rsidP="00B011ED">
    <w:pPr>
      <w:spacing w:after="0" w:line="236" w:lineRule="auto"/>
      <w:ind w:left="0" w:right="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682" w:rsidRDefault="005E1682">
    <w:pPr>
      <w:spacing w:after="0" w:line="236" w:lineRule="auto"/>
      <w:ind w:left="0" w:right="3" w:firstLine="0"/>
      <w:jc w:val="right"/>
    </w:pPr>
    <w:r>
      <w:rPr>
        <w:rFonts w:ascii="Calibri" w:eastAsia="Calibri" w:hAnsi="Calibri" w:cs="Calibri"/>
        <w:sz w:val="16"/>
      </w:rPr>
      <w:t xml:space="preserve">Seite </w:t>
    </w: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r>
      <w:rPr>
        <w:rFonts w:ascii="Calibri" w:eastAsia="Calibri" w:hAnsi="Calibri" w:cs="Calibri"/>
        <w:sz w:val="16"/>
      </w:rPr>
      <w:t xml:space="preserve"> von </w:t>
    </w:r>
    <w:r w:rsidR="00D60914">
      <w:fldChar w:fldCharType="begin"/>
    </w:r>
    <w:r w:rsidR="00D60914">
      <w:instrText xml:space="preserve"> NUMPAGES   \* MERGEFORMAT </w:instrText>
    </w:r>
    <w:r w:rsidR="00D60914">
      <w:fldChar w:fldCharType="separate"/>
    </w:r>
    <w:r w:rsidR="00D60914" w:rsidRPr="00D60914">
      <w:rPr>
        <w:rFonts w:ascii="Calibri" w:eastAsia="Calibri" w:hAnsi="Calibri" w:cs="Calibri"/>
        <w:b/>
        <w:noProof/>
        <w:sz w:val="16"/>
      </w:rPr>
      <w:t>7</w:t>
    </w:r>
    <w:r w:rsidR="00D60914">
      <w:rPr>
        <w:rFonts w:ascii="Calibri" w:eastAsia="Calibri" w:hAnsi="Calibri" w:cs="Calibri"/>
        <w:b/>
        <w:noProof/>
        <w:sz w:val="16"/>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682" w:rsidRDefault="005E1682">
      <w:pPr>
        <w:spacing w:after="0" w:line="240" w:lineRule="auto"/>
      </w:pPr>
      <w:r>
        <w:separator/>
      </w:r>
    </w:p>
  </w:footnote>
  <w:footnote w:type="continuationSeparator" w:id="0">
    <w:p w:rsidR="005E1682" w:rsidRDefault="005E1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A7F"/>
    <w:multiLevelType w:val="hybridMultilevel"/>
    <w:tmpl w:val="214CDFCE"/>
    <w:lvl w:ilvl="0" w:tplc="641AA81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A216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94AB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3C54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7873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9E64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E4DA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0E34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7EFE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AC4E5A"/>
    <w:multiLevelType w:val="hybridMultilevel"/>
    <w:tmpl w:val="594657A2"/>
    <w:lvl w:ilvl="0" w:tplc="A49804C6">
      <w:numFmt w:val="bullet"/>
      <w:lvlText w:val=""/>
      <w:lvlJc w:val="left"/>
      <w:pPr>
        <w:ind w:left="581" w:hanging="360"/>
      </w:pPr>
      <w:rPr>
        <w:rFonts w:ascii="Symbol" w:eastAsia="Arial" w:hAnsi="Symbol" w:cs="Arial" w:hint="default"/>
      </w:rPr>
    </w:lvl>
    <w:lvl w:ilvl="1" w:tplc="04070003" w:tentative="1">
      <w:start w:val="1"/>
      <w:numFmt w:val="bullet"/>
      <w:lvlText w:val="o"/>
      <w:lvlJc w:val="left"/>
      <w:pPr>
        <w:ind w:left="1301" w:hanging="360"/>
      </w:pPr>
      <w:rPr>
        <w:rFonts w:ascii="Courier New" w:hAnsi="Courier New" w:cs="Courier New" w:hint="default"/>
      </w:rPr>
    </w:lvl>
    <w:lvl w:ilvl="2" w:tplc="04070005" w:tentative="1">
      <w:start w:val="1"/>
      <w:numFmt w:val="bullet"/>
      <w:lvlText w:val=""/>
      <w:lvlJc w:val="left"/>
      <w:pPr>
        <w:ind w:left="2021" w:hanging="360"/>
      </w:pPr>
      <w:rPr>
        <w:rFonts w:ascii="Wingdings" w:hAnsi="Wingdings" w:hint="default"/>
      </w:rPr>
    </w:lvl>
    <w:lvl w:ilvl="3" w:tplc="04070001" w:tentative="1">
      <w:start w:val="1"/>
      <w:numFmt w:val="bullet"/>
      <w:lvlText w:val=""/>
      <w:lvlJc w:val="left"/>
      <w:pPr>
        <w:ind w:left="2741" w:hanging="360"/>
      </w:pPr>
      <w:rPr>
        <w:rFonts w:ascii="Symbol" w:hAnsi="Symbol" w:hint="default"/>
      </w:rPr>
    </w:lvl>
    <w:lvl w:ilvl="4" w:tplc="04070003" w:tentative="1">
      <w:start w:val="1"/>
      <w:numFmt w:val="bullet"/>
      <w:lvlText w:val="o"/>
      <w:lvlJc w:val="left"/>
      <w:pPr>
        <w:ind w:left="3461" w:hanging="360"/>
      </w:pPr>
      <w:rPr>
        <w:rFonts w:ascii="Courier New" w:hAnsi="Courier New" w:cs="Courier New" w:hint="default"/>
      </w:rPr>
    </w:lvl>
    <w:lvl w:ilvl="5" w:tplc="04070005" w:tentative="1">
      <w:start w:val="1"/>
      <w:numFmt w:val="bullet"/>
      <w:lvlText w:val=""/>
      <w:lvlJc w:val="left"/>
      <w:pPr>
        <w:ind w:left="4181" w:hanging="360"/>
      </w:pPr>
      <w:rPr>
        <w:rFonts w:ascii="Wingdings" w:hAnsi="Wingdings" w:hint="default"/>
      </w:rPr>
    </w:lvl>
    <w:lvl w:ilvl="6" w:tplc="04070001" w:tentative="1">
      <w:start w:val="1"/>
      <w:numFmt w:val="bullet"/>
      <w:lvlText w:val=""/>
      <w:lvlJc w:val="left"/>
      <w:pPr>
        <w:ind w:left="4901" w:hanging="360"/>
      </w:pPr>
      <w:rPr>
        <w:rFonts w:ascii="Symbol" w:hAnsi="Symbol" w:hint="default"/>
      </w:rPr>
    </w:lvl>
    <w:lvl w:ilvl="7" w:tplc="04070003" w:tentative="1">
      <w:start w:val="1"/>
      <w:numFmt w:val="bullet"/>
      <w:lvlText w:val="o"/>
      <w:lvlJc w:val="left"/>
      <w:pPr>
        <w:ind w:left="5621" w:hanging="360"/>
      </w:pPr>
      <w:rPr>
        <w:rFonts w:ascii="Courier New" w:hAnsi="Courier New" w:cs="Courier New" w:hint="default"/>
      </w:rPr>
    </w:lvl>
    <w:lvl w:ilvl="8" w:tplc="04070005" w:tentative="1">
      <w:start w:val="1"/>
      <w:numFmt w:val="bullet"/>
      <w:lvlText w:val=""/>
      <w:lvlJc w:val="left"/>
      <w:pPr>
        <w:ind w:left="6341" w:hanging="360"/>
      </w:pPr>
      <w:rPr>
        <w:rFonts w:ascii="Wingdings" w:hAnsi="Wingdings" w:hint="default"/>
      </w:rPr>
    </w:lvl>
  </w:abstractNum>
  <w:abstractNum w:abstractNumId="2" w15:restartNumberingAfterBreak="0">
    <w:nsid w:val="09D20150"/>
    <w:multiLevelType w:val="hybridMultilevel"/>
    <w:tmpl w:val="2F0C26B6"/>
    <w:lvl w:ilvl="0" w:tplc="582E707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C8D3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C46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708C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5AF6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654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6C30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AEFD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ADD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4E0017"/>
    <w:multiLevelType w:val="hybridMultilevel"/>
    <w:tmpl w:val="416AF346"/>
    <w:lvl w:ilvl="0" w:tplc="60C60BB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207D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CAF7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869A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7651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D8DF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08EE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1224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783F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5D5BE3"/>
    <w:multiLevelType w:val="hybridMultilevel"/>
    <w:tmpl w:val="C4C67B2A"/>
    <w:lvl w:ilvl="0" w:tplc="67AA8324">
      <w:start w:val="1"/>
      <w:numFmt w:val="decimal"/>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FE4C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622F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30BEF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A94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46C2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6A30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CC25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0EA9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CA7B39"/>
    <w:multiLevelType w:val="hybridMultilevel"/>
    <w:tmpl w:val="0DB40996"/>
    <w:lvl w:ilvl="0" w:tplc="187A70E0">
      <w:start w:val="1"/>
      <w:numFmt w:val="decimal"/>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CCEC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2449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6277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26B7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08C7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0A08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6696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E8EE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937E15"/>
    <w:multiLevelType w:val="hybridMultilevel"/>
    <w:tmpl w:val="8A5A09CE"/>
    <w:lvl w:ilvl="0" w:tplc="9AE827B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CC8C9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CE47E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5E2F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B231E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28DA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EC4D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7A9E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F0D6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936F25"/>
    <w:multiLevelType w:val="hybridMultilevel"/>
    <w:tmpl w:val="6B8A3012"/>
    <w:lvl w:ilvl="0" w:tplc="9864D110">
      <w:start w:val="3"/>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8EA5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58B3C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A69C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683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B880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6C1A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EA1A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7649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75156B4"/>
    <w:multiLevelType w:val="hybridMultilevel"/>
    <w:tmpl w:val="F3EA1932"/>
    <w:lvl w:ilvl="0" w:tplc="E174DF4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6AF0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D2DF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00612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EBC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FE70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7C210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900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1890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9A47C73"/>
    <w:multiLevelType w:val="hybridMultilevel"/>
    <w:tmpl w:val="5CEC3848"/>
    <w:lvl w:ilvl="0" w:tplc="9196AAD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846D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4AD7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385C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B0D6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9204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487D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E499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AC91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0EC6D50"/>
    <w:multiLevelType w:val="hybridMultilevel"/>
    <w:tmpl w:val="AC861BBE"/>
    <w:lvl w:ilvl="0" w:tplc="9042CA6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3A88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2698C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08A2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16FF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9C3B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F8FE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70C1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7E5A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A88178C"/>
    <w:multiLevelType w:val="hybridMultilevel"/>
    <w:tmpl w:val="3320A484"/>
    <w:lvl w:ilvl="0" w:tplc="EC889D50">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C09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967B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5ED6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94FB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2251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986C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62E4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9206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F4032A"/>
    <w:multiLevelType w:val="hybridMultilevel"/>
    <w:tmpl w:val="40A8FCCE"/>
    <w:lvl w:ilvl="0" w:tplc="0E1239FA">
      <w:start w:val="1"/>
      <w:numFmt w:val="decimal"/>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EE18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78EA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A673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BCDC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FC56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3ABD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FE40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C03B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7C156F5"/>
    <w:multiLevelType w:val="hybridMultilevel"/>
    <w:tmpl w:val="838AD552"/>
    <w:lvl w:ilvl="0" w:tplc="5B2ACC98">
      <w:start w:val="4"/>
      <w:numFmt w:val="decimal"/>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C474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6632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C483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FCD1D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A0A1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028B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B0F2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F24B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D51B83"/>
    <w:multiLevelType w:val="hybridMultilevel"/>
    <w:tmpl w:val="5C0A50C0"/>
    <w:lvl w:ilvl="0" w:tplc="678E2300">
      <w:start w:val="1"/>
      <w:numFmt w:val="decimal"/>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1643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9A1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2495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5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8C66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CA27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620F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24A9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D424A24"/>
    <w:multiLevelType w:val="hybridMultilevel"/>
    <w:tmpl w:val="080637A4"/>
    <w:lvl w:ilvl="0" w:tplc="F8628E0A">
      <w:start w:val="2"/>
      <w:numFmt w:val="decimal"/>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D4C8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B618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204B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A2E41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2414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A4CF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4D0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B043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1"/>
  </w:num>
  <w:num w:numId="3">
    <w:abstractNumId w:val="7"/>
  </w:num>
  <w:num w:numId="4">
    <w:abstractNumId w:val="8"/>
  </w:num>
  <w:num w:numId="5">
    <w:abstractNumId w:val="10"/>
  </w:num>
  <w:num w:numId="6">
    <w:abstractNumId w:val="15"/>
  </w:num>
  <w:num w:numId="7">
    <w:abstractNumId w:val="13"/>
  </w:num>
  <w:num w:numId="8">
    <w:abstractNumId w:val="4"/>
  </w:num>
  <w:num w:numId="9">
    <w:abstractNumId w:val="14"/>
  </w:num>
  <w:num w:numId="10">
    <w:abstractNumId w:val="3"/>
  </w:num>
  <w:num w:numId="11">
    <w:abstractNumId w:val="0"/>
  </w:num>
  <w:num w:numId="12">
    <w:abstractNumId w:val="12"/>
  </w:num>
  <w:num w:numId="13">
    <w:abstractNumId w:val="6"/>
  </w:num>
  <w:num w:numId="14">
    <w:abstractNumId w:val="9"/>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9B"/>
    <w:rsid w:val="00182F55"/>
    <w:rsid w:val="003057BD"/>
    <w:rsid w:val="00566917"/>
    <w:rsid w:val="005E1682"/>
    <w:rsid w:val="007A6100"/>
    <w:rsid w:val="00823B59"/>
    <w:rsid w:val="0093359B"/>
    <w:rsid w:val="00965353"/>
    <w:rsid w:val="00B011ED"/>
    <w:rsid w:val="00D60914"/>
    <w:rsid w:val="00E04775"/>
    <w:rsid w:val="00E63F9F"/>
    <w:rsid w:val="00ED1C7D"/>
    <w:rsid w:val="00F869B8"/>
    <w:rsid w:val="00F973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E83F"/>
  <w15:docId w15:val="{8D9410EE-D5EA-419C-9ABF-0E7CC173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8" w:line="270" w:lineRule="auto"/>
      <w:ind w:left="10" w:hanging="10"/>
    </w:pPr>
    <w:rPr>
      <w:rFonts w:ascii="Arial" w:eastAsia="Arial" w:hAnsi="Arial" w:cs="Arial"/>
      <w:color w:val="000000"/>
      <w:sz w:val="20"/>
    </w:rPr>
  </w:style>
  <w:style w:type="paragraph" w:styleId="berschrift1">
    <w:name w:val="heading 1"/>
    <w:next w:val="Standard"/>
    <w:link w:val="berschrift1Zchn"/>
    <w:uiPriority w:val="9"/>
    <w:unhideWhenUsed/>
    <w:qFormat/>
    <w:pPr>
      <w:keepNext/>
      <w:keepLines/>
      <w:spacing w:after="0"/>
      <w:outlineLvl w:val="0"/>
    </w:pPr>
    <w:rPr>
      <w:rFonts w:ascii="Calibri" w:eastAsia="Calibri" w:hAnsi="Calibri" w:cs="Calibri"/>
      <w:b/>
      <w:color w:val="000000"/>
      <w:sz w:val="24"/>
    </w:rPr>
  </w:style>
  <w:style w:type="paragraph" w:styleId="berschrift2">
    <w:name w:val="heading 2"/>
    <w:next w:val="Standard"/>
    <w:link w:val="berschrift2Zchn"/>
    <w:uiPriority w:val="9"/>
    <w:unhideWhenUsed/>
    <w:qFormat/>
    <w:pPr>
      <w:keepNext/>
      <w:keepLines/>
      <w:spacing w:after="10" w:line="248" w:lineRule="auto"/>
      <w:ind w:left="10" w:hanging="10"/>
      <w:outlineLvl w:val="1"/>
    </w:pPr>
    <w:rPr>
      <w:rFonts w:ascii="Calibri" w:eastAsia="Calibri" w:hAnsi="Calibri" w:cs="Calibri"/>
      <w:b/>
      <w:color w:val="000000"/>
    </w:rPr>
  </w:style>
  <w:style w:type="paragraph" w:styleId="berschrift3">
    <w:name w:val="heading 3"/>
    <w:next w:val="Standard"/>
    <w:link w:val="berschrift3Zchn"/>
    <w:uiPriority w:val="9"/>
    <w:unhideWhenUsed/>
    <w:qFormat/>
    <w:pPr>
      <w:keepNext/>
      <w:keepLines/>
      <w:spacing w:after="296"/>
      <w:ind w:left="10" w:right="48" w:hanging="10"/>
      <w:jc w:val="center"/>
      <w:outlineLvl w:val="2"/>
    </w:pPr>
    <w:rPr>
      <w:rFonts w:ascii="Calibri" w:eastAsia="Calibri" w:hAnsi="Calibri" w:cs="Calibri"/>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Calibri" w:eastAsia="Calibri" w:hAnsi="Calibri" w:cs="Calibri"/>
      <w:b/>
      <w:color w:val="000000"/>
      <w:sz w:val="20"/>
    </w:rPr>
  </w:style>
  <w:style w:type="character" w:customStyle="1" w:styleId="berschrift1Zchn">
    <w:name w:val="Überschrift 1 Zchn"/>
    <w:link w:val="berschrift1"/>
    <w:rPr>
      <w:rFonts w:ascii="Calibri" w:eastAsia="Calibri" w:hAnsi="Calibri" w:cs="Calibri"/>
      <w:b/>
      <w:color w:val="000000"/>
      <w:sz w:val="24"/>
    </w:rPr>
  </w:style>
  <w:style w:type="character" w:customStyle="1" w:styleId="berschrift2Zchn">
    <w:name w:val="Überschrift 2 Zchn"/>
    <w:link w:val="berschrift2"/>
    <w:rPr>
      <w:rFonts w:ascii="Calibri" w:eastAsia="Calibri" w:hAnsi="Calibri" w:cs="Calibri"/>
      <w:b/>
      <w:color w:val="000000"/>
      <w:sz w:val="22"/>
    </w:rPr>
  </w:style>
  <w:style w:type="paragraph" w:styleId="Listenabsatz">
    <w:name w:val="List Paragraph"/>
    <w:basedOn w:val="Standard"/>
    <w:uiPriority w:val="34"/>
    <w:qFormat/>
    <w:rsid w:val="00F869B8"/>
    <w:pPr>
      <w:ind w:left="720"/>
      <w:contextualSpacing/>
    </w:pPr>
  </w:style>
  <w:style w:type="paragraph" w:styleId="Sprechblasentext">
    <w:name w:val="Balloon Text"/>
    <w:basedOn w:val="Standard"/>
    <w:link w:val="SprechblasentextZchn"/>
    <w:uiPriority w:val="99"/>
    <w:semiHidden/>
    <w:unhideWhenUsed/>
    <w:rsid w:val="00E047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4775"/>
    <w:rPr>
      <w:rFonts w:ascii="Segoe UI" w:eastAsia="Arial" w:hAnsi="Segoe UI" w:cs="Segoe UI"/>
      <w:color w:val="000000"/>
      <w:sz w:val="18"/>
      <w:szCs w:val="18"/>
    </w:rPr>
  </w:style>
  <w:style w:type="paragraph" w:styleId="Kopfzeile">
    <w:name w:val="header"/>
    <w:basedOn w:val="Standard"/>
    <w:link w:val="KopfzeileZchn"/>
    <w:uiPriority w:val="99"/>
    <w:unhideWhenUsed/>
    <w:rsid w:val="00B011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1ED"/>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11709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Landkreis Havelland</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Ahrens, Nils-Hinnerk</dc:creator>
  <cp:keywords/>
  <cp:lastModifiedBy>Ahrens, Nils-Hinnerk</cp:lastModifiedBy>
  <cp:revision>2</cp:revision>
  <cp:lastPrinted>2023-01-09T11:35:00Z</cp:lastPrinted>
  <dcterms:created xsi:type="dcterms:W3CDTF">2023-01-09T11:40:00Z</dcterms:created>
  <dcterms:modified xsi:type="dcterms:W3CDTF">2023-01-09T11:40:00Z</dcterms:modified>
</cp:coreProperties>
</file>